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F5" w:rsidRDefault="005F29F5" w:rsidP="005F29F5">
      <w:pPr>
        <w:pStyle w:val="Nagwek10"/>
        <w:spacing w:before="0" w:after="0"/>
        <w:rPr>
          <w:b/>
        </w:rPr>
      </w:pPr>
      <w:r>
        <w:rPr>
          <w:rFonts w:eastAsia="Times New Roman" w:cs="Times New Roman"/>
          <w:b/>
        </w:rPr>
        <w:t>Rozdział III.</w:t>
      </w:r>
      <w:r>
        <w:rPr>
          <w:b/>
        </w:rPr>
        <w:t xml:space="preserve"> Diagnoza – opis obszaru i ludności </w:t>
      </w:r>
    </w:p>
    <w:p w:rsidR="005F29F5" w:rsidRDefault="005F29F5" w:rsidP="005F29F5">
      <w:pPr>
        <w:jc w:val="both"/>
        <w:rPr>
          <w:sz w:val="22"/>
          <w:szCs w:val="22"/>
        </w:rPr>
      </w:pPr>
      <w:r>
        <w:rPr>
          <w:sz w:val="22"/>
          <w:szCs w:val="22"/>
        </w:rPr>
        <w:t>Dane zaprezentowane w tym rozdziale pochodzą głównie z białego wywiadu – analizy dostępnych baz danych tj. Bank Danych Lokalnych Głównego Urzędu Statystycznego (BDL GUS), ale też Powiatowych Urzędów Pracy w Bochni i Wieliczce, Wojewódzkiego Inspektoratu Ochrony Środowiska w Krakowie. W Diagnozie przywołano też,  w stosownych punktach, wyniki własnego badania ankietowego.</w:t>
      </w:r>
    </w:p>
    <w:p w:rsidR="005F29F5" w:rsidRDefault="005F29F5" w:rsidP="005F29F5">
      <w:pPr>
        <w:jc w:val="both"/>
        <w:rPr>
          <w:sz w:val="22"/>
          <w:szCs w:val="22"/>
        </w:rPr>
      </w:pPr>
    </w:p>
    <w:p w:rsidR="005F29F5" w:rsidRDefault="005F29F5" w:rsidP="005F29F5">
      <w:pPr>
        <w:pStyle w:val="Nagwek10"/>
        <w:spacing w:before="0" w:after="0"/>
        <w:rPr>
          <w:sz w:val="22"/>
          <w:szCs w:val="22"/>
        </w:rPr>
      </w:pPr>
      <w:r>
        <w:rPr>
          <w:rStyle w:val="Nagwek2Znak"/>
          <w:b w:val="0"/>
          <w:sz w:val="26"/>
          <w:szCs w:val="26"/>
          <w:lang w:eastAsia="ar-SA" w:bidi="ar-SA"/>
        </w:rPr>
        <w:t>1. Określenie grup szczególnie istotnych z punktu widzenia realizacji LSR oraz problemów i obszarów interwencji odnoszących się do tych grup.</w:t>
      </w:r>
    </w:p>
    <w:p w:rsidR="005F29F5" w:rsidRDefault="005F29F5" w:rsidP="005F29F5">
      <w:pPr>
        <w:jc w:val="both"/>
        <w:rPr>
          <w:color w:val="000000"/>
          <w:sz w:val="22"/>
          <w:szCs w:val="22"/>
        </w:rPr>
      </w:pPr>
      <w:r>
        <w:rPr>
          <w:sz w:val="22"/>
          <w:szCs w:val="22"/>
        </w:rPr>
        <w:t xml:space="preserve">1) Informacje zawarte w tym punkcie wynikają z obowiązkowej struktury dokumentu, nie są wstępem do diagnozy, lecz zawierają informacje, będące wynikiem nie tylko przedstawionej diagnozy, ale również uwarunkowań możliwych interwencji, jak również podjętych w procesie partycypacyjnym z udziałem społeczności lokalnej, decyzji wyboru w zakresie tych interwencji. </w:t>
      </w:r>
      <w:r>
        <w:rPr>
          <w:color w:val="000000"/>
          <w:sz w:val="22"/>
          <w:szCs w:val="22"/>
        </w:rPr>
        <w:t xml:space="preserve">LSR jest strategią dotyczącą rozwoju określonego terytorialnie (geograficznie) obszaru – z założenia powinna posiadać holistyczny charakter, w odróżnieniu od strategii branżowych. Beneficjentami takiej strategii są wszyscy mieszkańcy obszaru. Ze względu na ograniczoną możliwość interwencji i stwierdzone problemy, określone grupy społeczne będą mogły z tej strategii skorzystać w większym stopniu niż inne. Także różne jest oczekiwanie udziału w jej realizacji różnych grup społeczno-gospodarczych. </w:t>
      </w:r>
    </w:p>
    <w:p w:rsidR="005F29F5" w:rsidRDefault="005F29F5" w:rsidP="005F29F5">
      <w:pPr>
        <w:suppressAutoHyphens w:val="0"/>
        <w:autoSpaceDE w:val="0"/>
        <w:jc w:val="both"/>
        <w:rPr>
          <w:color w:val="000000"/>
          <w:sz w:val="22"/>
          <w:szCs w:val="22"/>
        </w:rPr>
      </w:pPr>
      <w:r>
        <w:rPr>
          <w:color w:val="000000"/>
          <w:sz w:val="22"/>
          <w:szCs w:val="22"/>
        </w:rPr>
        <w:t xml:space="preserve">2) LSR dla obszaru LGD Dolina Raby (w skrócie LSR DR) wykorzystuje do realizacji tylko EFRROW, którego w Polsce zastosowanie określa PROW 2014-2020, a w ramach niego, rozwój lokalny kierowany przez społeczny zawarty został w Działaniu  </w:t>
      </w:r>
      <w:r>
        <w:rPr>
          <w:rFonts w:eastAsia="Times New Roman" w:cs="Times New Roman"/>
          <w:sz w:val="22"/>
          <w:szCs w:val="22"/>
          <w:lang w:eastAsia="ar-SA" w:bidi="ar-SA"/>
        </w:rPr>
        <w:t xml:space="preserve">M19 – Wsparcie dla rozwoju lokalnego w ramach inicjatywy LEADER (RLKS – rozwój lokalny kierowany przez społeczność) (art. 35 rozporządzenia (UE) nr 1303/2013) </w:t>
      </w:r>
      <w:r>
        <w:rPr>
          <w:color w:val="000000"/>
          <w:sz w:val="22"/>
          <w:szCs w:val="22"/>
        </w:rPr>
        <w:t xml:space="preserve">(w skrócie LEADER). Interwencja z udziałem innych EFSI nie jest możliwa, ze względu na brak decyzji Zarządu Województwa Małopolskiego o wyborze bezpośredniej metody RLKS w ramach RPO oraz ze względu na brak spełniania wymogów zastosowania EFMR </w:t>
      </w:r>
      <w:r>
        <w:rPr>
          <w:sz w:val="22"/>
          <w:szCs w:val="22"/>
        </w:rPr>
        <w:t>(zbyt mała ilość zatrudnionych w rybactwie i za mała sprzedaż ryb).</w:t>
      </w:r>
      <w:r>
        <w:rPr>
          <w:color w:val="000000"/>
          <w:sz w:val="22"/>
          <w:szCs w:val="22"/>
        </w:rPr>
        <w:t xml:space="preserve"> </w:t>
      </w:r>
    </w:p>
    <w:p w:rsidR="005F29F5" w:rsidRDefault="005F29F5" w:rsidP="005F29F5">
      <w:pPr>
        <w:suppressAutoHyphens w:val="0"/>
        <w:autoSpaceDE w:val="0"/>
        <w:jc w:val="both"/>
        <w:rPr>
          <w:rFonts w:eastAsia="Times New Roman" w:cs="Times New Roman"/>
          <w:sz w:val="22"/>
          <w:szCs w:val="22"/>
          <w:lang w:eastAsia="ar-SA" w:bidi="ar-SA"/>
        </w:rPr>
      </w:pPr>
      <w:r>
        <w:rPr>
          <w:rFonts w:eastAsia="Times New Roman" w:cs="Times New Roman"/>
          <w:sz w:val="22"/>
          <w:szCs w:val="22"/>
          <w:lang w:eastAsia="ar-SA" w:bidi="ar-SA"/>
        </w:rPr>
        <w:t>3)</w:t>
      </w:r>
      <w:r>
        <w:rPr>
          <w:rFonts w:eastAsia="Times New Roman" w:cs="Times New Roman"/>
          <w:i/>
          <w:sz w:val="22"/>
          <w:szCs w:val="22"/>
          <w:lang w:eastAsia="ar-SA" w:bidi="ar-SA"/>
        </w:rPr>
        <w:t xml:space="preserve"> „Działanie LEADER realizuje cel szczegółowy 6B „wspieranie lokalnego rozwoju na obszarach wiejskich” w ramach priorytetu 6 „wspieranie włączenia społecznego, ograniczenia ubóstwa i rozwoju gospodarczego na obszarach wiejskich” poprzez wdrażanie lokalnych strategii rozwoju (LSR)”</w:t>
      </w:r>
      <w:r>
        <w:rPr>
          <w:rFonts w:eastAsia="Times New Roman" w:cs="Times New Roman"/>
          <w:sz w:val="22"/>
          <w:szCs w:val="22"/>
          <w:lang w:eastAsia="ar-SA" w:bidi="ar-SA"/>
        </w:rPr>
        <w:t xml:space="preserve"> (PROW 2014-2020). Z tego też względu, w LSR w szczególny sposób, zarówno na etapie diagnozy, jak i w późniejszych etapach opracowania LSR, skierowano uwagę na grupy szczególnie zagrożone wykluczeniem społecznym (grupy defaworyzowane) takich jak osoby bezrobotne, niepełnosprawne, ubogie, nieporadne życiowo. Ważnym wymogiem, skorzystania z możliwości PROW w ramach Działania LEADER jest obowiązek przeznaczenia 50% budżetu na utworzenie lub utrzymanie miejsc pracy. Wymóg ten niejako wiąże się z problemem zagrożenia wykluczeniem społecznym, bowiem brak pracy w miejscu zamieszkana jest jednym z głównym powodów ubóstwa, ale także przyczyną osobistych frustracji i w rezultacie rozwoju patologii społecznych lub przyczyną emigracji. Zjawisko emigracji dotyczy szczególnie osób młodych, często wykształconych, co pogłębia zagrożenie starzenia się społeczeństwa polskiego i jest ewidentną stratą dla polskiej gospodarki i społeczeństwa. Osoby ubogie korzystają najczęściej z pomocy społecznej, co w dłuższym wymiarze czasowym staje się sposobem na życie, szczególnie niebezpiecznym dla osób młodych, pozostających w tych rodzinach.           </w:t>
      </w:r>
    </w:p>
    <w:p w:rsidR="005F29F5" w:rsidRDefault="005F29F5" w:rsidP="005F29F5">
      <w:pPr>
        <w:suppressAutoHyphens w:val="0"/>
        <w:autoSpaceDE w:val="0"/>
        <w:jc w:val="both"/>
        <w:rPr>
          <w:color w:val="000000"/>
          <w:sz w:val="22"/>
          <w:szCs w:val="22"/>
        </w:rPr>
      </w:pPr>
      <w:r>
        <w:rPr>
          <w:rFonts w:eastAsia="Times New Roman" w:cs="Times New Roman"/>
          <w:sz w:val="22"/>
          <w:szCs w:val="22"/>
          <w:lang w:eastAsia="ar-SA" w:bidi="ar-SA"/>
        </w:rPr>
        <w:t xml:space="preserve">4) Diagnoza sytuacji społeczno-gospodarczej, przeprowadzona poniżej, zarówno poprzez analizę dostępnych danych statystycznych, jak i w wyniku własnych badań ankietowych, wskazuje, że największym problemem jest właśnie problem braku pracy na lokalnym rynku pracy (pkt. 3.5).   </w:t>
      </w:r>
    </w:p>
    <w:p w:rsidR="005F29F5" w:rsidRDefault="005F29F5" w:rsidP="005F29F5">
      <w:pPr>
        <w:jc w:val="both"/>
        <w:rPr>
          <w:sz w:val="22"/>
          <w:szCs w:val="22"/>
        </w:rPr>
      </w:pPr>
      <w:r>
        <w:rPr>
          <w:color w:val="000000"/>
          <w:sz w:val="22"/>
          <w:szCs w:val="22"/>
        </w:rPr>
        <w:t xml:space="preserve">Analiza bezrobotnych (pkt. 3.2) w zakresie wieku wskazuje, że grupą, której odsetek osób bezrobotnych jest wyższy niż średnia dla całej populacji bezrobotnych są </w:t>
      </w:r>
      <w:r>
        <w:rPr>
          <w:color w:val="000000"/>
          <w:sz w:val="22"/>
          <w:szCs w:val="22"/>
          <w:u w:val="single"/>
        </w:rPr>
        <w:t>osoby bezrobotne w przedziale wiekowym 18–34</w:t>
      </w:r>
      <w:r>
        <w:rPr>
          <w:color w:val="000000"/>
          <w:sz w:val="22"/>
          <w:szCs w:val="22"/>
        </w:rPr>
        <w:t>. Brak pracy w tej grupie skutkuje brakiem stabilnych warunków finansowych, opóźnieniem w zakładaniu rodziny i tym samym pogłębia proces starzenia się społeczeństwa.</w:t>
      </w:r>
    </w:p>
    <w:p w:rsidR="005F29F5" w:rsidRDefault="005F29F5" w:rsidP="005F29F5">
      <w:pPr>
        <w:jc w:val="both"/>
        <w:rPr>
          <w:color w:val="FF0000"/>
          <w:sz w:val="22"/>
          <w:szCs w:val="22"/>
        </w:rPr>
      </w:pPr>
      <w:r>
        <w:rPr>
          <w:sz w:val="22"/>
          <w:szCs w:val="22"/>
        </w:rPr>
        <w:t xml:space="preserve">Analiza osób bezrobotnych (pkt. 3.3) wskazuje też na większe trudności w znalezieniu pracy przez osoby bez doświadczenia zawodowego. Większe niż mężczyźni, trudności w znalezieniu pracy mają kobiety (pkt. 3.4).  </w:t>
      </w:r>
    </w:p>
    <w:p w:rsidR="005F29F5" w:rsidRDefault="005F29F5" w:rsidP="005F29F5">
      <w:pPr>
        <w:jc w:val="both"/>
        <w:rPr>
          <w:color w:val="000000"/>
          <w:sz w:val="22"/>
          <w:szCs w:val="22"/>
        </w:rPr>
      </w:pPr>
      <w:r>
        <w:rPr>
          <w:color w:val="000000"/>
          <w:sz w:val="22"/>
          <w:szCs w:val="22"/>
        </w:rPr>
        <w:t>5) W LSR DR przewidziano, także w oparciu analizę sytuacji w zakresie pomocy społecznej (pkt. 5), preferencję w kryteriach lokalnych dla następujących grup zagrożonych wykluczeniem społecznych (grup defaworyzowanych):</w:t>
      </w:r>
    </w:p>
    <w:p w:rsidR="005F29F5" w:rsidRDefault="005F29F5" w:rsidP="005F29F5">
      <w:pPr>
        <w:widowControl/>
        <w:numPr>
          <w:ilvl w:val="0"/>
          <w:numId w:val="2"/>
        </w:numPr>
        <w:jc w:val="both"/>
        <w:rPr>
          <w:color w:val="000000"/>
          <w:sz w:val="22"/>
          <w:szCs w:val="22"/>
        </w:rPr>
      </w:pPr>
      <w:r>
        <w:rPr>
          <w:color w:val="000000"/>
          <w:sz w:val="22"/>
          <w:szCs w:val="22"/>
        </w:rPr>
        <w:lastRenderedPageBreak/>
        <w:t>Osoby bezrobotne w wieku 18-34,</w:t>
      </w:r>
    </w:p>
    <w:p w:rsidR="005F29F5" w:rsidRDefault="005F29F5" w:rsidP="005F29F5">
      <w:pPr>
        <w:widowControl/>
        <w:numPr>
          <w:ilvl w:val="0"/>
          <w:numId w:val="2"/>
        </w:numPr>
        <w:jc w:val="both"/>
        <w:rPr>
          <w:color w:val="000000"/>
          <w:sz w:val="22"/>
          <w:szCs w:val="22"/>
        </w:rPr>
      </w:pPr>
      <w:r>
        <w:rPr>
          <w:color w:val="000000"/>
          <w:sz w:val="22"/>
          <w:szCs w:val="22"/>
        </w:rPr>
        <w:t>Bezrobotne kobiety,</w:t>
      </w:r>
    </w:p>
    <w:p w:rsidR="005F29F5" w:rsidRDefault="005F29F5" w:rsidP="005F29F5">
      <w:pPr>
        <w:widowControl/>
        <w:numPr>
          <w:ilvl w:val="0"/>
          <w:numId w:val="2"/>
        </w:numPr>
        <w:jc w:val="both"/>
        <w:rPr>
          <w:color w:val="000000"/>
          <w:sz w:val="22"/>
          <w:szCs w:val="22"/>
        </w:rPr>
      </w:pPr>
      <w:r>
        <w:rPr>
          <w:color w:val="000000"/>
          <w:sz w:val="22"/>
          <w:szCs w:val="22"/>
        </w:rPr>
        <w:t>Bezrobotne osoby bez doświadczenia zawodowego,</w:t>
      </w:r>
    </w:p>
    <w:p w:rsidR="005F29F5" w:rsidRDefault="005F29F5" w:rsidP="005F29F5">
      <w:pPr>
        <w:widowControl/>
        <w:numPr>
          <w:ilvl w:val="0"/>
          <w:numId w:val="2"/>
        </w:numPr>
        <w:jc w:val="both"/>
        <w:rPr>
          <w:rFonts w:eastAsia="Times New Roman" w:cs="Times New Roman"/>
          <w:sz w:val="22"/>
          <w:szCs w:val="22"/>
          <w:lang w:eastAsia="ar-SA" w:bidi="ar-SA"/>
        </w:rPr>
      </w:pPr>
      <w:r>
        <w:rPr>
          <w:color w:val="000000"/>
          <w:sz w:val="22"/>
          <w:szCs w:val="22"/>
        </w:rPr>
        <w:t>Długotrwale bezrobotni,</w:t>
      </w:r>
    </w:p>
    <w:p w:rsidR="005F29F5" w:rsidRDefault="005F29F5" w:rsidP="005F29F5">
      <w:pPr>
        <w:widowControl/>
        <w:numPr>
          <w:ilvl w:val="0"/>
          <w:numId w:val="2"/>
        </w:numPr>
        <w:jc w:val="both"/>
        <w:rPr>
          <w:rFonts w:eastAsia="Times New Roman" w:cs="Times New Roman"/>
          <w:sz w:val="22"/>
          <w:szCs w:val="22"/>
          <w:lang w:eastAsia="ar-SA" w:bidi="ar-SA"/>
        </w:rPr>
      </w:pPr>
      <w:r>
        <w:rPr>
          <w:rFonts w:eastAsia="Times New Roman" w:cs="Times New Roman"/>
          <w:sz w:val="22"/>
          <w:szCs w:val="22"/>
          <w:lang w:eastAsia="ar-SA" w:bidi="ar-SA"/>
        </w:rPr>
        <w:t>Osoby niepełnosprawne,</w:t>
      </w:r>
    </w:p>
    <w:p w:rsidR="005F29F5" w:rsidRDefault="005F29F5" w:rsidP="005F29F5">
      <w:pPr>
        <w:widowControl/>
        <w:numPr>
          <w:ilvl w:val="0"/>
          <w:numId w:val="2"/>
        </w:numPr>
        <w:jc w:val="both"/>
        <w:rPr>
          <w:sz w:val="22"/>
          <w:szCs w:val="22"/>
        </w:rPr>
      </w:pPr>
      <w:r>
        <w:rPr>
          <w:rFonts w:eastAsia="Times New Roman" w:cs="Times New Roman"/>
          <w:sz w:val="22"/>
          <w:szCs w:val="22"/>
          <w:lang w:eastAsia="ar-SA" w:bidi="ar-SA"/>
        </w:rPr>
        <w:t>Osoby korzystające z pomocy społecznej.</w:t>
      </w:r>
    </w:p>
    <w:p w:rsidR="005F29F5" w:rsidRDefault="005F29F5" w:rsidP="005F29F5">
      <w:pPr>
        <w:jc w:val="both"/>
        <w:rPr>
          <w:sz w:val="22"/>
          <w:szCs w:val="22"/>
        </w:rPr>
      </w:pPr>
      <w:r>
        <w:rPr>
          <w:sz w:val="22"/>
          <w:szCs w:val="22"/>
        </w:rPr>
        <w:t xml:space="preserve">6) Grupami szczególnie istotnymi z punktu widzenia realizacji LSR, poza w/w grupami defaworyzowanymi są: </w:t>
      </w:r>
    </w:p>
    <w:p w:rsidR="005F29F5" w:rsidRDefault="005F29F5" w:rsidP="005F29F5">
      <w:pPr>
        <w:widowControl/>
        <w:numPr>
          <w:ilvl w:val="0"/>
          <w:numId w:val="3"/>
        </w:numPr>
        <w:jc w:val="both"/>
        <w:rPr>
          <w:sz w:val="22"/>
          <w:szCs w:val="22"/>
        </w:rPr>
      </w:pPr>
      <w:r>
        <w:rPr>
          <w:sz w:val="22"/>
          <w:szCs w:val="22"/>
        </w:rPr>
        <w:t xml:space="preserve">Osoby zainteresowane podjęciem samodzielnej działalności gospodarczej i tym samym, stworzeniem sobie, a może i innym osobom, miejsca pracy, </w:t>
      </w:r>
    </w:p>
    <w:p w:rsidR="005F29F5" w:rsidRDefault="005F29F5" w:rsidP="005F29F5">
      <w:pPr>
        <w:widowControl/>
        <w:numPr>
          <w:ilvl w:val="0"/>
          <w:numId w:val="3"/>
        </w:numPr>
        <w:jc w:val="both"/>
        <w:rPr>
          <w:sz w:val="22"/>
          <w:szCs w:val="22"/>
        </w:rPr>
      </w:pPr>
      <w:r>
        <w:rPr>
          <w:sz w:val="22"/>
          <w:szCs w:val="22"/>
        </w:rPr>
        <w:t xml:space="preserve">przedsiębiorcy, którzy osoby wieku 18-34, jak i inne osoby defaworyzowane mogą zatrudnić. </w:t>
      </w:r>
    </w:p>
    <w:p w:rsidR="005F29F5" w:rsidRDefault="005F29F5" w:rsidP="005F29F5">
      <w:pPr>
        <w:jc w:val="both"/>
        <w:rPr>
          <w:sz w:val="22"/>
          <w:szCs w:val="22"/>
        </w:rPr>
      </w:pPr>
      <w:r>
        <w:rPr>
          <w:sz w:val="22"/>
          <w:szCs w:val="22"/>
        </w:rPr>
        <w:t xml:space="preserve">W przypadku istniejących przedsiębiorstw, ich właściciele dają oni niejako większą gwarancję utworzenia </w:t>
      </w:r>
      <w:r>
        <w:rPr>
          <w:sz w:val="22"/>
          <w:szCs w:val="22"/>
        </w:rPr>
        <w:br/>
        <w:t xml:space="preserve">i utrzymania miejsca pracy, w związku z doświadczeniem jakie posiadają już w prowadzeniu działalności gospodarczej. Spośród różnych branż gospodarczych, szczególnie wspierane będą produkcja żywności,  zwłaszcza w zakresie tradycyjnej żywności i budownictwo oraz turystyka (pkt. 2.3-6). </w:t>
      </w:r>
      <w:r w:rsidRPr="0001621A">
        <w:rPr>
          <w:color w:val="00B050"/>
          <w:sz w:val="22"/>
          <w:szCs w:val="22"/>
        </w:rPr>
        <w:t>W wyniku przeprowadzonych konsultacji społecznych w czerwcu 2021 r. zdiagnozowano, iż w/w sytuacja na rynku pracy w obszarze objętym LSR jest nadal aktualna, a dodatkowo sytuacja z wiązana z epidemią koronawirusa spowodowała, iż wielu mieszkańców utraciło pracę, a przedsiębiorcy znaczną część przychodów. Ta grupa osób wymaga w obecnej sytuacji szczególnego wsparcia w związku z powyższym zarekomendowano przeznaczenie dodatkowych środków finansowych na przedsięwzięcie 2.3.1 Podejmowanie działalności gospodarczej (pozostała bez handlowej) i podniesienie wskaźnika produktu do 28 szt., jak również na przedsięwzięcie 2.3.2 Rozwój działalności gospodarczej i podniesienie wskaźnika produktu do 17 szt.</w:t>
      </w:r>
    </w:p>
    <w:p w:rsidR="005F29F5" w:rsidRDefault="005F29F5" w:rsidP="005F29F5">
      <w:pPr>
        <w:jc w:val="both"/>
        <w:rPr>
          <w:rFonts w:cs="Times New Roman"/>
          <w:color w:val="00B050"/>
          <w:sz w:val="22"/>
          <w:szCs w:val="22"/>
        </w:rPr>
      </w:pPr>
      <w:r>
        <w:rPr>
          <w:color w:val="000000"/>
          <w:sz w:val="22"/>
          <w:szCs w:val="22"/>
        </w:rPr>
        <w:t xml:space="preserve">7) Obok osób rozpoczynających działalność gospodarczą i przedsiębiorców, grupami istotnymi w punktu widzenia realizacji LSR są jednostki samorządu terytorialnego (JST), organizacje pozarządowe (NGO) oraz osoby posiadające pomysły na ożywienie społeczno-gospodarcze obszaru. Od jednostek samorządu terytorialnego oczekiwane jest zaangażowanie </w:t>
      </w:r>
      <w:r>
        <w:rPr>
          <w:sz w:val="22"/>
          <w:szCs w:val="22"/>
        </w:rPr>
        <w:t>w rozwój ogólnodostępnej infrastruktury kulturalnej i rekreacyjno-turystycznej (w</w:t>
      </w:r>
      <w:r w:rsidRPr="00E54384">
        <w:rPr>
          <w:color w:val="00B050"/>
          <w:sz w:val="22"/>
          <w:szCs w:val="22"/>
        </w:rPr>
        <w:t xml:space="preserve"> wyniku konsultacji społecznych przeprowadzonych w czerwcu 2021 r.</w:t>
      </w:r>
      <w:r>
        <w:rPr>
          <w:color w:val="00B050"/>
          <w:sz w:val="22"/>
          <w:szCs w:val="22"/>
        </w:rPr>
        <w:t xml:space="preserve"> zdiagnozowano</w:t>
      </w:r>
      <w:r w:rsidRPr="00E54384">
        <w:rPr>
          <w:color w:val="00B050"/>
          <w:sz w:val="22"/>
          <w:szCs w:val="22"/>
        </w:rPr>
        <w:t xml:space="preserve">, </w:t>
      </w:r>
      <w:r>
        <w:rPr>
          <w:color w:val="00B050"/>
          <w:sz w:val="22"/>
          <w:szCs w:val="22"/>
        </w:rPr>
        <w:t>potrzebę włączenia o</w:t>
      </w:r>
      <w:r w:rsidRPr="00E54384">
        <w:rPr>
          <w:color w:val="00B050"/>
          <w:sz w:val="22"/>
          <w:szCs w:val="22"/>
        </w:rPr>
        <w:t xml:space="preserve">bok JST w zagadnienia związane z rozwojem </w:t>
      </w:r>
      <w:r>
        <w:rPr>
          <w:color w:val="00B050"/>
          <w:sz w:val="22"/>
          <w:szCs w:val="22"/>
        </w:rPr>
        <w:t xml:space="preserve">w/w </w:t>
      </w:r>
      <w:r w:rsidRPr="00E54384">
        <w:rPr>
          <w:color w:val="00B050"/>
          <w:sz w:val="22"/>
          <w:szCs w:val="22"/>
        </w:rPr>
        <w:t>infrastruktury</w:t>
      </w:r>
      <w:r>
        <w:rPr>
          <w:color w:val="00B050"/>
          <w:sz w:val="22"/>
          <w:szCs w:val="22"/>
        </w:rPr>
        <w:t xml:space="preserve"> również organizacji pozarządowych). </w:t>
      </w:r>
      <w:r>
        <w:rPr>
          <w:rFonts w:cs="Times New Roman"/>
          <w:color w:val="00B050"/>
          <w:sz w:val="22"/>
          <w:szCs w:val="22"/>
        </w:rPr>
        <w:t xml:space="preserve">Zwiększenie wskaźników produktu dla przedsięwzięć 1.1.2, 1.2.1 oraz 2.2.3 dokonano w oparciu o zebrane fiszki projektowe. </w:t>
      </w:r>
      <w:r w:rsidRPr="001C4195">
        <w:rPr>
          <w:sz w:val="22"/>
          <w:szCs w:val="22"/>
        </w:rPr>
        <w:t xml:space="preserve">W </w:t>
      </w:r>
      <w:r w:rsidRPr="00FD1F93">
        <w:rPr>
          <w:sz w:val="22"/>
          <w:szCs w:val="22"/>
        </w:rPr>
        <w:t>marcu 2020 roku w wyniku prac Forum Lokalnego jako stałej formy partycypacji społecznej zdiagnozowano, iż istnieje potrzeba realizacji przez organizacje pozarządowe dodatkowych operacji mających na celu szerzenie lokalnej kultury i dziedzictwa lokalnego. W związku z faktem bogatych zasobów kulturowych obszaru LSR oraz przyznaniem LGD dodatkowych środków finansowych zdecydowano o wprowadzeniu do przedsięwzięcia 1.1.1 dodatkowego wskaźnika produktu  „</w:t>
      </w:r>
      <w:r w:rsidRPr="00FD1F93">
        <w:rPr>
          <w:rFonts w:cs="Times New Roman"/>
          <w:sz w:val="22"/>
          <w:szCs w:val="22"/>
        </w:rPr>
        <w:t>Liczba zrealizowanych operacji mających na celu szerzenie lokalnej kultury i dziedzictwa lokalnego”.</w:t>
      </w:r>
      <w:r>
        <w:rPr>
          <w:rFonts w:cs="Times New Roman"/>
          <w:sz w:val="22"/>
          <w:szCs w:val="22"/>
        </w:rPr>
        <w:t xml:space="preserve"> </w:t>
      </w:r>
      <w:r w:rsidRPr="00E54384">
        <w:rPr>
          <w:rFonts w:cs="Times New Roman"/>
          <w:color w:val="00B050"/>
          <w:sz w:val="22"/>
          <w:szCs w:val="22"/>
        </w:rPr>
        <w:t>Następnie w czerwcu 2021 roku w wyniku prac Forum Lokalnego</w:t>
      </w:r>
      <w:r>
        <w:rPr>
          <w:rFonts w:cs="Times New Roman"/>
          <w:color w:val="00B050"/>
          <w:sz w:val="22"/>
          <w:szCs w:val="22"/>
        </w:rPr>
        <w:t xml:space="preserve"> i przeprowadzonych konsultacji społecznych</w:t>
      </w:r>
      <w:r w:rsidRPr="00E54384">
        <w:rPr>
          <w:rFonts w:cs="Times New Roman"/>
          <w:color w:val="00B050"/>
          <w:sz w:val="22"/>
          <w:szCs w:val="22"/>
        </w:rPr>
        <w:t xml:space="preserve"> zdiagnozowano potrzebę realizacji</w:t>
      </w:r>
      <w:r>
        <w:rPr>
          <w:rFonts w:cs="Times New Roman"/>
          <w:color w:val="00B050"/>
          <w:sz w:val="22"/>
          <w:szCs w:val="22"/>
        </w:rPr>
        <w:t xml:space="preserve"> kolejnego przedsięwzięcia ukierunkowanego na organizacje pozarządowe, tym razem takiego, które pozwoliłoby kompleksowo łączyć zagadnienia lokalnego dziedzictwa i infrastruktury rekreacyjno-kulturalnej (w tym edukacyjnej)  dla realizacji pełniejszych i bardziej elastycznych projektów dostosowanych pod nowe potrzeby NGO. To same organizacje pozarządowe zarówno podczas Forum Lokalnego jak i prowadzonych przez LGD spotkań zgłaszały konieczność realizacji projektów łączących zagadnienia dziedzictwa i infrastruktury kulturalnej służącej lokalnej społeczności. W związku z możliwością ubiegania się przez LGD o dodatkowe środki zdecydowano o wprowadzeniu nowego przedsięwzięcia 1.2.2 „</w:t>
      </w:r>
      <w:r w:rsidRPr="00B65B71">
        <w:rPr>
          <w:color w:val="00B050"/>
          <w:sz w:val="22"/>
          <w:szCs w:val="22"/>
        </w:rPr>
        <w:t>Inne działania na rzecz poprawy</w:t>
      </w:r>
      <w:r>
        <w:rPr>
          <w:color w:val="00B050"/>
          <w:sz w:val="22"/>
          <w:szCs w:val="22"/>
        </w:rPr>
        <w:t xml:space="preserve"> bazy</w:t>
      </w:r>
      <w:r w:rsidRPr="00B65B71">
        <w:rPr>
          <w:color w:val="00B050"/>
          <w:sz w:val="22"/>
          <w:szCs w:val="22"/>
        </w:rPr>
        <w:t xml:space="preserve"> rekreacyjno-kulturalnej</w:t>
      </w:r>
      <w:r>
        <w:rPr>
          <w:color w:val="00B050"/>
          <w:sz w:val="22"/>
          <w:szCs w:val="22"/>
        </w:rPr>
        <w:t xml:space="preserve"> lub</w:t>
      </w:r>
      <w:r w:rsidRPr="00B65B71">
        <w:rPr>
          <w:color w:val="00B050"/>
          <w:sz w:val="22"/>
          <w:szCs w:val="22"/>
        </w:rPr>
        <w:t xml:space="preserve"> oferty edukacyjnej w tym zachowanie </w:t>
      </w:r>
      <w:r>
        <w:rPr>
          <w:color w:val="00B050"/>
          <w:sz w:val="22"/>
          <w:szCs w:val="22"/>
        </w:rPr>
        <w:t>lub</w:t>
      </w:r>
      <w:r w:rsidRPr="00B65B71">
        <w:rPr>
          <w:color w:val="00B050"/>
          <w:sz w:val="22"/>
          <w:szCs w:val="22"/>
        </w:rPr>
        <w:t xml:space="preserve"> szerzenie dziedzictwa</w:t>
      </w:r>
      <w:r>
        <w:rPr>
          <w:color w:val="00B050"/>
          <w:sz w:val="22"/>
          <w:szCs w:val="22"/>
        </w:rPr>
        <w:t xml:space="preserve"> lokalnego” realizującego wskaźnik produktu „</w:t>
      </w:r>
      <w:r w:rsidRPr="00D84552">
        <w:rPr>
          <w:rFonts w:cs="Times New Roman"/>
          <w:color w:val="00B050"/>
          <w:sz w:val="22"/>
          <w:szCs w:val="22"/>
        </w:rPr>
        <w:t xml:space="preserve">Liczba operacji mających na celu poprawę </w:t>
      </w:r>
      <w:r>
        <w:rPr>
          <w:rFonts w:cs="Times New Roman"/>
          <w:color w:val="00B050"/>
          <w:sz w:val="22"/>
          <w:szCs w:val="22"/>
        </w:rPr>
        <w:t xml:space="preserve">bazy rekreacyjno – kulturalnej lub </w:t>
      </w:r>
      <w:r w:rsidRPr="00D84552">
        <w:rPr>
          <w:rFonts w:cs="Times New Roman"/>
          <w:color w:val="00B050"/>
          <w:sz w:val="22"/>
          <w:szCs w:val="22"/>
        </w:rPr>
        <w:t>oferty edukacyjnej (w tym zachowanie lub szerzenie dziedzictwa lokalnego)</w:t>
      </w:r>
      <w:r>
        <w:rPr>
          <w:rFonts w:cs="Times New Roman"/>
          <w:color w:val="00B050"/>
          <w:sz w:val="22"/>
          <w:szCs w:val="22"/>
        </w:rPr>
        <w:t xml:space="preserve">”. Ilość wskaźnika produktu dla tego przedsięwzięcia ustalono w oparciu o przeprowadzoną analizę aktywnych organizacji pozarządowych na obszarze LSR, które dysponują odpowiednimi zasobami kadrowymi i organizacyjnymi by mogły realizować operacje w formie refundacji w zaproponowanym obszarze tematycznym. Podobnie podczas tych samych konsultacji zgłoszono potrzebę stworzenia miejsca, które zachowywałoby i szerzyło lokalną kulturę i tradycje z obszaru wdrażania LSR. Miejsce to pomogłoby </w:t>
      </w:r>
      <w:r>
        <w:rPr>
          <w:rFonts w:cs="Times New Roman"/>
          <w:color w:val="00B050"/>
          <w:sz w:val="22"/>
          <w:szCs w:val="22"/>
        </w:rPr>
        <w:lastRenderedPageBreak/>
        <w:t>w lepszy sposób wykorzystać potencjał organizacji pozarządowych, szczególnie licznych kół gospodyń wiejskich, które mogłyby tam organizować warsztaty kulinarne i przekazywać wiedzę nt. lokalnych kulinariów i tradycji młodemu pokoleniu jak i turystom. Miejsce to mogłoby również służyć do zdobywania wiedzy dla samych kół gospodyń, podczas organizowanych szkoleń i warsztatów tematycznych. LGD posiada bogate, a nie wykorzystanych zasoby w postaci książek i publikacji kulinarnych, licznych produktów lokalnych, w tym zarejestrowanych na liście MRiRW, oraz stworzonego już lokalnego systemu jakości „KOGUTEK”. W związku z w/w aspektami postanowiono zaplanować realizację nowego przedsięwzięcia 1.1.3 „</w:t>
      </w:r>
      <w:r>
        <w:rPr>
          <w:color w:val="00B050"/>
          <w:sz w:val="22"/>
          <w:szCs w:val="22"/>
        </w:rPr>
        <w:t>Utworzenie Izby Książki Kucharskiej i Kulinarnej wraz z Centrum Marki Lokalnej” realizowanego poprzez projekt własny.</w:t>
      </w:r>
    </w:p>
    <w:p w:rsidR="00FD5433" w:rsidRDefault="00FD5433" w:rsidP="00A6344A">
      <w:pPr>
        <w:jc w:val="both"/>
        <w:rPr>
          <w:b/>
          <w:sz w:val="22"/>
          <w:szCs w:val="22"/>
        </w:rPr>
      </w:pPr>
    </w:p>
    <w:p w:rsidR="00FD5433" w:rsidRPr="00FD5433" w:rsidRDefault="00FD5433" w:rsidP="00FD5433">
      <w:pPr>
        <w:jc w:val="both"/>
        <w:rPr>
          <w:rFonts w:cs="Times New Roman"/>
          <w:sz w:val="22"/>
          <w:szCs w:val="22"/>
        </w:rPr>
      </w:pPr>
      <w:bookmarkStart w:id="0" w:name="_Hlk74216402"/>
      <w:r w:rsidRPr="00FD5433">
        <w:rPr>
          <w:rFonts w:ascii="Arial" w:hAnsi="Arial" w:cs="Arial"/>
          <w:i/>
          <w:sz w:val="26"/>
          <w:szCs w:val="26"/>
        </w:rPr>
        <w:t xml:space="preserve">2. Charakterystyka gospodarki/przedsiębiorczości (w tym przedsiębiorczości społecznej), branż z potencjałem rozwojowym (informacja o branżach gospodarki mających kluczowe znaczenie dla rozwoju obszaru). </w:t>
      </w:r>
    </w:p>
    <w:bookmarkEnd w:id="0"/>
    <w:p w:rsidR="00FD5433" w:rsidRPr="00FD5433" w:rsidRDefault="00FD5433" w:rsidP="00FD5433">
      <w:pPr>
        <w:jc w:val="both"/>
        <w:rPr>
          <w:rFonts w:cs="Times New Roman"/>
          <w:color w:val="000000"/>
          <w:sz w:val="22"/>
          <w:szCs w:val="22"/>
        </w:rPr>
      </w:pPr>
      <w:r w:rsidRPr="00FD5433">
        <w:rPr>
          <w:rFonts w:cs="Times New Roman"/>
          <w:color w:val="000000"/>
          <w:sz w:val="22"/>
          <w:szCs w:val="22"/>
        </w:rPr>
        <w:t xml:space="preserve">1) W dniu 31 XII 2014 r. na obszarze LGD było 4558 podmiotów gospodarczych w rejestrze REGON. Daje to wskaźnik przedsiębiorczości (ilość podmiotów gospodarczych w systemie na 1000 mieszkańców) w wysokości 76,3. Jest to mniej niż w województwie i w Polsce (obejmujących także duże miasta), gdzie analogiczne wskaźniki wyniosły odpowiednio 105,9 </w:t>
      </w:r>
      <w:bookmarkStart w:id="1" w:name="_GoBack"/>
      <w:bookmarkEnd w:id="1"/>
      <w:r w:rsidRPr="00FD5433">
        <w:rPr>
          <w:rFonts w:cs="Times New Roman"/>
          <w:color w:val="000000"/>
          <w:sz w:val="22"/>
          <w:szCs w:val="22"/>
        </w:rPr>
        <w:t>i 107,1. W ostatnim kilku latach wskaźnik przedsiębiorczości wzrastał w następujący sposób – o 14% w roku 2014 w stosunku do roku 2009:</w:t>
      </w:r>
    </w:p>
    <w:tbl>
      <w:tblPr>
        <w:tblW w:w="0" w:type="auto"/>
        <w:jc w:val="center"/>
        <w:tblLayout w:type="fixed"/>
        <w:tblCellMar>
          <w:left w:w="70" w:type="dxa"/>
          <w:right w:w="70" w:type="dxa"/>
        </w:tblCellMar>
        <w:tblLook w:val="0000" w:firstRow="0" w:lastRow="0" w:firstColumn="0" w:lastColumn="0" w:noHBand="0" w:noVBand="0"/>
      </w:tblPr>
      <w:tblGrid>
        <w:gridCol w:w="1136"/>
        <w:gridCol w:w="1136"/>
        <w:gridCol w:w="1136"/>
        <w:gridCol w:w="1136"/>
        <w:gridCol w:w="1136"/>
        <w:gridCol w:w="1136"/>
      </w:tblGrid>
      <w:tr w:rsidR="00FD5433" w:rsidRPr="00FD5433" w:rsidTr="009A087F">
        <w:trPr>
          <w:trHeight w:val="300"/>
          <w:jc w:val="center"/>
        </w:trPr>
        <w:tc>
          <w:tcPr>
            <w:tcW w:w="1136" w:type="dxa"/>
            <w:shd w:val="clear" w:color="auto" w:fill="auto"/>
            <w:vAlign w:val="bottom"/>
          </w:tcPr>
          <w:p w:rsidR="00FD5433" w:rsidRPr="00FD5433" w:rsidRDefault="00FD5433" w:rsidP="00FD5433">
            <w:pPr>
              <w:suppressAutoHyphens w:val="0"/>
              <w:jc w:val="center"/>
              <w:rPr>
                <w:rFonts w:eastAsia="Times New Roman" w:cs="Times New Roman"/>
                <w:bCs/>
                <w:sz w:val="22"/>
                <w:szCs w:val="22"/>
                <w:lang w:eastAsia="ar-SA" w:bidi="ar-SA"/>
              </w:rPr>
            </w:pPr>
            <w:r w:rsidRPr="00FD5433">
              <w:rPr>
                <w:rFonts w:eastAsia="Times New Roman" w:cs="Times New Roman"/>
                <w:bCs/>
                <w:sz w:val="22"/>
                <w:szCs w:val="22"/>
                <w:lang w:eastAsia="ar-SA" w:bidi="ar-SA"/>
              </w:rPr>
              <w:t>2009</w:t>
            </w:r>
          </w:p>
        </w:tc>
        <w:tc>
          <w:tcPr>
            <w:tcW w:w="1136" w:type="dxa"/>
            <w:shd w:val="clear" w:color="auto" w:fill="auto"/>
            <w:vAlign w:val="center"/>
          </w:tcPr>
          <w:p w:rsidR="00FD5433" w:rsidRPr="00FD5433" w:rsidRDefault="00FD5433" w:rsidP="00FD5433">
            <w:pPr>
              <w:suppressAutoHyphens w:val="0"/>
              <w:jc w:val="center"/>
              <w:rPr>
                <w:rFonts w:eastAsia="Times New Roman" w:cs="Times New Roman"/>
                <w:bCs/>
                <w:sz w:val="22"/>
                <w:szCs w:val="22"/>
                <w:lang w:eastAsia="ar-SA" w:bidi="ar-SA"/>
              </w:rPr>
            </w:pPr>
            <w:r w:rsidRPr="00FD5433">
              <w:rPr>
                <w:rFonts w:eastAsia="Times New Roman" w:cs="Times New Roman"/>
                <w:bCs/>
                <w:sz w:val="22"/>
                <w:szCs w:val="22"/>
                <w:lang w:eastAsia="ar-SA" w:bidi="ar-SA"/>
              </w:rPr>
              <w:t>2010</w:t>
            </w:r>
          </w:p>
        </w:tc>
        <w:tc>
          <w:tcPr>
            <w:tcW w:w="1136" w:type="dxa"/>
            <w:shd w:val="clear" w:color="auto" w:fill="auto"/>
            <w:vAlign w:val="center"/>
          </w:tcPr>
          <w:p w:rsidR="00FD5433" w:rsidRPr="00FD5433" w:rsidRDefault="00FD5433" w:rsidP="00FD5433">
            <w:pPr>
              <w:suppressAutoHyphens w:val="0"/>
              <w:jc w:val="center"/>
              <w:rPr>
                <w:rFonts w:eastAsia="Times New Roman" w:cs="Times New Roman"/>
                <w:bCs/>
                <w:sz w:val="22"/>
                <w:szCs w:val="22"/>
                <w:lang w:eastAsia="ar-SA" w:bidi="ar-SA"/>
              </w:rPr>
            </w:pPr>
            <w:r w:rsidRPr="00FD5433">
              <w:rPr>
                <w:rFonts w:eastAsia="Times New Roman" w:cs="Times New Roman"/>
                <w:bCs/>
                <w:sz w:val="22"/>
                <w:szCs w:val="22"/>
                <w:lang w:eastAsia="ar-SA" w:bidi="ar-SA"/>
              </w:rPr>
              <w:t>2011</w:t>
            </w:r>
          </w:p>
        </w:tc>
        <w:tc>
          <w:tcPr>
            <w:tcW w:w="1136" w:type="dxa"/>
            <w:shd w:val="clear" w:color="auto" w:fill="auto"/>
            <w:vAlign w:val="center"/>
          </w:tcPr>
          <w:p w:rsidR="00FD5433" w:rsidRPr="00FD5433" w:rsidRDefault="00FD5433" w:rsidP="00FD5433">
            <w:pPr>
              <w:suppressAutoHyphens w:val="0"/>
              <w:jc w:val="center"/>
              <w:rPr>
                <w:rFonts w:eastAsia="Times New Roman" w:cs="Times New Roman"/>
                <w:bCs/>
                <w:sz w:val="22"/>
                <w:szCs w:val="22"/>
                <w:lang w:eastAsia="ar-SA" w:bidi="ar-SA"/>
              </w:rPr>
            </w:pPr>
            <w:r w:rsidRPr="00FD5433">
              <w:rPr>
                <w:rFonts w:eastAsia="Times New Roman" w:cs="Times New Roman"/>
                <w:bCs/>
                <w:sz w:val="22"/>
                <w:szCs w:val="22"/>
                <w:lang w:eastAsia="ar-SA" w:bidi="ar-SA"/>
              </w:rPr>
              <w:t>2012</w:t>
            </w:r>
          </w:p>
        </w:tc>
        <w:tc>
          <w:tcPr>
            <w:tcW w:w="1136" w:type="dxa"/>
            <w:shd w:val="clear" w:color="auto" w:fill="auto"/>
            <w:vAlign w:val="center"/>
          </w:tcPr>
          <w:p w:rsidR="00FD5433" w:rsidRPr="00FD5433" w:rsidRDefault="00FD5433" w:rsidP="00FD5433">
            <w:pPr>
              <w:suppressAutoHyphens w:val="0"/>
              <w:jc w:val="center"/>
              <w:rPr>
                <w:rFonts w:eastAsia="Times New Roman" w:cs="Times New Roman"/>
                <w:bCs/>
                <w:sz w:val="22"/>
                <w:szCs w:val="22"/>
                <w:lang w:eastAsia="ar-SA" w:bidi="ar-SA"/>
              </w:rPr>
            </w:pPr>
            <w:r w:rsidRPr="00FD5433">
              <w:rPr>
                <w:rFonts w:eastAsia="Times New Roman" w:cs="Times New Roman"/>
                <w:bCs/>
                <w:sz w:val="22"/>
                <w:szCs w:val="22"/>
                <w:lang w:eastAsia="ar-SA" w:bidi="ar-SA"/>
              </w:rPr>
              <w:t>2013</w:t>
            </w:r>
          </w:p>
        </w:tc>
        <w:tc>
          <w:tcPr>
            <w:tcW w:w="1136" w:type="dxa"/>
            <w:shd w:val="clear" w:color="auto" w:fill="auto"/>
            <w:vAlign w:val="center"/>
          </w:tcPr>
          <w:p w:rsidR="00FD5433" w:rsidRPr="00FD5433" w:rsidRDefault="00FD5433" w:rsidP="00FD5433">
            <w:pPr>
              <w:suppressAutoHyphens w:val="0"/>
              <w:jc w:val="center"/>
            </w:pPr>
            <w:r w:rsidRPr="00FD5433">
              <w:rPr>
                <w:rFonts w:eastAsia="Times New Roman" w:cs="Times New Roman"/>
                <w:bCs/>
                <w:sz w:val="22"/>
                <w:szCs w:val="22"/>
                <w:lang w:eastAsia="ar-SA" w:bidi="ar-SA"/>
              </w:rPr>
              <w:t>2014</w:t>
            </w:r>
          </w:p>
        </w:tc>
      </w:tr>
      <w:tr w:rsidR="00FD5433" w:rsidRPr="00FD5433" w:rsidTr="009A087F">
        <w:trPr>
          <w:trHeight w:val="255"/>
          <w:jc w:val="center"/>
        </w:trPr>
        <w:tc>
          <w:tcPr>
            <w:tcW w:w="1136" w:type="dxa"/>
            <w:shd w:val="clear" w:color="auto" w:fill="auto"/>
            <w:vAlign w:val="bottom"/>
          </w:tcPr>
          <w:p w:rsidR="00FD5433" w:rsidRPr="00FD5433" w:rsidRDefault="00FD5433" w:rsidP="00FD5433">
            <w:pPr>
              <w:suppressAutoHyphens w:val="0"/>
              <w:jc w:val="right"/>
              <w:rPr>
                <w:rFonts w:eastAsia="Times New Roman" w:cs="Times New Roman"/>
                <w:sz w:val="22"/>
                <w:szCs w:val="22"/>
                <w:lang w:eastAsia="ar-SA" w:bidi="ar-SA"/>
              </w:rPr>
            </w:pPr>
            <w:r w:rsidRPr="00FD5433">
              <w:rPr>
                <w:rFonts w:eastAsia="Times New Roman" w:cs="Times New Roman"/>
                <w:sz w:val="22"/>
                <w:szCs w:val="22"/>
                <w:lang w:eastAsia="ar-SA" w:bidi="ar-SA"/>
              </w:rPr>
              <w:t>66,9</w:t>
            </w:r>
          </w:p>
        </w:tc>
        <w:tc>
          <w:tcPr>
            <w:tcW w:w="1136" w:type="dxa"/>
            <w:shd w:val="clear" w:color="auto" w:fill="auto"/>
            <w:vAlign w:val="bottom"/>
          </w:tcPr>
          <w:p w:rsidR="00FD5433" w:rsidRPr="00FD5433" w:rsidRDefault="00FD5433" w:rsidP="00FD5433">
            <w:pPr>
              <w:suppressAutoHyphens w:val="0"/>
              <w:jc w:val="right"/>
              <w:rPr>
                <w:rFonts w:eastAsia="Times New Roman" w:cs="Times New Roman"/>
                <w:sz w:val="22"/>
                <w:szCs w:val="22"/>
                <w:lang w:eastAsia="ar-SA" w:bidi="ar-SA"/>
              </w:rPr>
            </w:pPr>
            <w:r w:rsidRPr="00FD5433">
              <w:rPr>
                <w:rFonts w:eastAsia="Times New Roman" w:cs="Times New Roman"/>
                <w:sz w:val="22"/>
                <w:szCs w:val="22"/>
                <w:lang w:eastAsia="ar-SA" w:bidi="ar-SA"/>
              </w:rPr>
              <w:t>71,3</w:t>
            </w:r>
          </w:p>
        </w:tc>
        <w:tc>
          <w:tcPr>
            <w:tcW w:w="1136" w:type="dxa"/>
            <w:shd w:val="clear" w:color="auto" w:fill="auto"/>
            <w:vAlign w:val="bottom"/>
          </w:tcPr>
          <w:p w:rsidR="00FD5433" w:rsidRPr="00FD5433" w:rsidRDefault="00FD5433" w:rsidP="00FD5433">
            <w:pPr>
              <w:suppressAutoHyphens w:val="0"/>
              <w:jc w:val="right"/>
              <w:rPr>
                <w:rFonts w:eastAsia="Times New Roman" w:cs="Times New Roman"/>
                <w:sz w:val="22"/>
                <w:szCs w:val="22"/>
                <w:lang w:eastAsia="ar-SA" w:bidi="ar-SA"/>
              </w:rPr>
            </w:pPr>
            <w:r w:rsidRPr="00FD5433">
              <w:rPr>
                <w:rFonts w:eastAsia="Times New Roman" w:cs="Times New Roman"/>
                <w:sz w:val="22"/>
                <w:szCs w:val="22"/>
                <w:lang w:eastAsia="ar-SA" w:bidi="ar-SA"/>
              </w:rPr>
              <w:t>72,0</w:t>
            </w:r>
          </w:p>
        </w:tc>
        <w:tc>
          <w:tcPr>
            <w:tcW w:w="1136" w:type="dxa"/>
            <w:shd w:val="clear" w:color="auto" w:fill="auto"/>
            <w:vAlign w:val="bottom"/>
          </w:tcPr>
          <w:p w:rsidR="00FD5433" w:rsidRPr="00FD5433" w:rsidRDefault="00FD5433" w:rsidP="00FD5433">
            <w:pPr>
              <w:suppressAutoHyphens w:val="0"/>
              <w:jc w:val="right"/>
              <w:rPr>
                <w:rFonts w:eastAsia="Times New Roman" w:cs="Times New Roman"/>
                <w:sz w:val="22"/>
                <w:szCs w:val="22"/>
                <w:lang w:eastAsia="ar-SA" w:bidi="ar-SA"/>
              </w:rPr>
            </w:pPr>
            <w:r w:rsidRPr="00FD5433">
              <w:rPr>
                <w:rFonts w:eastAsia="Times New Roman" w:cs="Times New Roman"/>
                <w:sz w:val="22"/>
                <w:szCs w:val="22"/>
                <w:lang w:eastAsia="ar-SA" w:bidi="ar-SA"/>
              </w:rPr>
              <w:t>73,5</w:t>
            </w:r>
          </w:p>
        </w:tc>
        <w:tc>
          <w:tcPr>
            <w:tcW w:w="1136" w:type="dxa"/>
            <w:shd w:val="clear" w:color="auto" w:fill="auto"/>
            <w:vAlign w:val="bottom"/>
          </w:tcPr>
          <w:p w:rsidR="00FD5433" w:rsidRPr="00FD5433" w:rsidRDefault="00FD5433" w:rsidP="00FD5433">
            <w:pPr>
              <w:suppressAutoHyphens w:val="0"/>
              <w:jc w:val="right"/>
              <w:rPr>
                <w:rFonts w:eastAsia="Times New Roman" w:cs="Times New Roman"/>
                <w:sz w:val="22"/>
                <w:szCs w:val="22"/>
                <w:lang w:eastAsia="ar-SA" w:bidi="ar-SA"/>
              </w:rPr>
            </w:pPr>
            <w:r w:rsidRPr="00FD5433">
              <w:rPr>
                <w:rFonts w:eastAsia="Times New Roman" w:cs="Times New Roman"/>
                <w:sz w:val="22"/>
                <w:szCs w:val="22"/>
                <w:lang w:eastAsia="ar-SA" w:bidi="ar-SA"/>
              </w:rPr>
              <w:t>75,1</w:t>
            </w:r>
          </w:p>
        </w:tc>
        <w:tc>
          <w:tcPr>
            <w:tcW w:w="1136" w:type="dxa"/>
            <w:shd w:val="clear" w:color="auto" w:fill="auto"/>
            <w:vAlign w:val="bottom"/>
          </w:tcPr>
          <w:p w:rsidR="00FD5433" w:rsidRPr="00FD5433" w:rsidRDefault="00FD5433" w:rsidP="00FD5433">
            <w:pPr>
              <w:suppressAutoHyphens w:val="0"/>
              <w:jc w:val="right"/>
            </w:pPr>
            <w:r w:rsidRPr="00FD5433">
              <w:rPr>
                <w:rFonts w:eastAsia="Times New Roman" w:cs="Times New Roman"/>
                <w:sz w:val="22"/>
                <w:szCs w:val="22"/>
                <w:lang w:eastAsia="ar-SA" w:bidi="ar-SA"/>
              </w:rPr>
              <w:t>76,3</w:t>
            </w:r>
          </w:p>
        </w:tc>
      </w:tr>
    </w:tbl>
    <w:p w:rsidR="00FD5433" w:rsidRPr="00FD5433" w:rsidRDefault="00FD5433" w:rsidP="00FD5433">
      <w:pPr>
        <w:jc w:val="both"/>
        <w:rPr>
          <w:rFonts w:cs="Times New Roman"/>
          <w:color w:val="000000"/>
          <w:sz w:val="22"/>
          <w:szCs w:val="22"/>
        </w:rPr>
      </w:pPr>
      <w:r w:rsidRPr="00FD5433">
        <w:rPr>
          <w:rFonts w:cs="Times New Roman"/>
          <w:color w:val="000000"/>
          <w:sz w:val="22"/>
          <w:szCs w:val="22"/>
        </w:rPr>
        <w:t>2) Poniżej zaprezentowano strukturę podmiotów gospodarczych w systemie REGON na obszarze LGD (w dniu 31 XII 2014 r.) w porównaniu do analogicznej struktury w kraju.</w:t>
      </w:r>
    </w:p>
    <w:p w:rsidR="00FD5433" w:rsidRPr="00FD5433" w:rsidRDefault="00FD5433" w:rsidP="00FD5433">
      <w:pPr>
        <w:jc w:val="both"/>
        <w:rPr>
          <w:rFonts w:cs="Times New Roman"/>
          <w:color w:val="000000"/>
          <w:sz w:val="22"/>
          <w:szCs w:val="22"/>
        </w:rPr>
      </w:pPr>
      <w:r w:rsidRPr="00FD5433">
        <w:rPr>
          <w:rFonts w:cs="Times New Roman"/>
          <w:noProof/>
          <w:color w:val="000000"/>
          <w:sz w:val="22"/>
          <w:szCs w:val="22"/>
          <w:lang w:eastAsia="ar-SA" w:bidi="ar-SA"/>
        </w:rPr>
        <mc:AlternateContent>
          <mc:Choice Requires="wpg">
            <w:drawing>
              <wp:inline distT="0" distB="0" distL="0" distR="0">
                <wp:extent cx="6079490" cy="2099310"/>
                <wp:effectExtent l="0" t="0" r="0" b="0"/>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2099310"/>
                          <a:chOff x="0" y="0"/>
                          <a:chExt cx="9971" cy="3587"/>
                        </a:xfrm>
                      </wpg:grpSpPr>
                      <wps:wsp>
                        <wps:cNvPr id="6" name="Rectangle 3"/>
                        <wps:cNvSpPr>
                          <a:spLocks noChangeArrowheads="1"/>
                        </wps:cNvSpPr>
                        <wps:spPr bwMode="auto">
                          <a:xfrm>
                            <a:off x="0" y="0"/>
                            <a:ext cx="9970" cy="35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7"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21" y="0"/>
                            <a:ext cx="5248" cy="358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 cy="358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360966E4" id="Grupa 5" o:spid="_x0000_s1026" style="width:478.7pt;height:165.3pt;mso-position-horizontal-relative:char;mso-position-vertical-relative:line" coordsize="9971,3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">
                <v:rect id="Rectangle 3" o:spid="_x0000_s1027" style="position:absolute;width:9970;height:35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" filled="f" stroked="f" strokecolor="gray">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721;width:5248;height:3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" strokecolor="gray">
                  <v:fill recolor="t" type="frame"/>
                  <v:stroke joinstyle="round"/>
                  <v:imagedata r:id="rId9" o:title=""/>
                </v:shape>
                <v:shape id="Picture 5" o:spid="_x0000_s1029" type="#_x0000_t75" style="position:absolute;width:5248;height:3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" strokecolor="gray">
                  <v:fill recolor="t" type="frame"/>
                  <v:stroke joinstyle="round"/>
                  <v:imagedata r:id="rId10" o:title=""/>
                </v:shape>
                <w10:anchorlock/>
              </v:group>
            </w:pict>
          </mc:Fallback>
        </mc:AlternateContent>
      </w:r>
    </w:p>
    <w:p w:rsidR="00FD5433" w:rsidRPr="00FD5433" w:rsidRDefault="00FD5433" w:rsidP="00FD5433">
      <w:pPr>
        <w:ind w:firstLine="709"/>
        <w:jc w:val="both"/>
        <w:rPr>
          <w:rFonts w:cs="Times New Roman"/>
          <w:color w:val="000000"/>
          <w:sz w:val="22"/>
          <w:szCs w:val="22"/>
        </w:rPr>
      </w:pPr>
      <w:r w:rsidRPr="00FD5433">
        <w:rPr>
          <w:rFonts w:cs="Times New Roman"/>
          <w:color w:val="000000"/>
          <w:sz w:val="22"/>
          <w:szCs w:val="22"/>
        </w:rPr>
        <w:t>DOLINA RABY</w:t>
      </w:r>
      <w:r w:rsidRPr="00FD5433">
        <w:rPr>
          <w:rFonts w:cs="Times New Roman"/>
          <w:color w:val="000000"/>
          <w:sz w:val="22"/>
          <w:szCs w:val="22"/>
        </w:rPr>
        <w:tab/>
      </w:r>
      <w:r w:rsidRPr="00FD5433">
        <w:rPr>
          <w:rFonts w:cs="Times New Roman"/>
          <w:color w:val="000000"/>
          <w:sz w:val="22"/>
          <w:szCs w:val="22"/>
        </w:rPr>
        <w:tab/>
      </w:r>
      <w:r w:rsidRPr="00FD5433">
        <w:rPr>
          <w:rFonts w:cs="Times New Roman"/>
          <w:color w:val="000000"/>
          <w:sz w:val="22"/>
          <w:szCs w:val="22"/>
        </w:rPr>
        <w:tab/>
      </w:r>
      <w:r w:rsidRPr="00FD5433">
        <w:rPr>
          <w:rFonts w:cs="Times New Roman"/>
          <w:color w:val="000000"/>
          <w:sz w:val="22"/>
          <w:szCs w:val="22"/>
        </w:rPr>
        <w:tab/>
      </w:r>
      <w:r w:rsidRPr="00FD5433">
        <w:rPr>
          <w:rFonts w:cs="Times New Roman"/>
          <w:color w:val="000000"/>
          <w:sz w:val="22"/>
          <w:szCs w:val="22"/>
        </w:rPr>
        <w:tab/>
      </w:r>
      <w:r w:rsidRPr="00FD5433">
        <w:rPr>
          <w:rFonts w:cs="Times New Roman"/>
          <w:color w:val="000000"/>
          <w:sz w:val="22"/>
          <w:szCs w:val="22"/>
        </w:rPr>
        <w:tab/>
        <w:t xml:space="preserve">POLSKA </w:t>
      </w:r>
    </w:p>
    <w:p w:rsidR="00FD5433" w:rsidRPr="00FD5433" w:rsidRDefault="00FD5433" w:rsidP="00FD5433">
      <w:pPr>
        <w:jc w:val="both"/>
        <w:rPr>
          <w:rFonts w:cs="Times New Roman"/>
          <w:color w:val="000000"/>
          <w:sz w:val="22"/>
          <w:szCs w:val="22"/>
        </w:rPr>
      </w:pPr>
      <w:r w:rsidRPr="00FD5433">
        <w:rPr>
          <w:rFonts w:cs="Times New Roman"/>
          <w:color w:val="000000"/>
          <w:sz w:val="22"/>
          <w:szCs w:val="22"/>
        </w:rPr>
        <w:t>Na szczególną uwagę zasługuje sytuacja w sekcji F – budownictwo, która na obszarze stanowi 22%, podczas gdy poziom krajowy to 12%. Sekcja C – przetwórstwo przemysłowe ma 11% na obszarze LGD, podczas gdy w Polsce mniej – 9%. Sekcja M – działalność profesjonalna, naukowa i techniczna stanowi w Polsce 9%, a na obszarze LGD – 4%. Firmy tego typu lokują swoje biura raczej w centrach miast.</w:t>
      </w:r>
    </w:p>
    <w:p w:rsidR="00FD5433" w:rsidRPr="00FD5433" w:rsidRDefault="00FD5433" w:rsidP="00FD5433">
      <w:pPr>
        <w:jc w:val="both"/>
        <w:rPr>
          <w:rFonts w:cs="Times New Roman"/>
          <w:color w:val="000000"/>
          <w:sz w:val="22"/>
          <w:szCs w:val="22"/>
        </w:rPr>
      </w:pPr>
      <w:r w:rsidRPr="00FD5433">
        <w:rPr>
          <w:rFonts w:cs="Times New Roman"/>
          <w:color w:val="000000"/>
          <w:sz w:val="22"/>
          <w:szCs w:val="22"/>
        </w:rPr>
        <w:t>3) Poniżej zaprezentowano strukturę sekcji C wg działów dla obszaru LGD i kraju.</w:t>
      </w:r>
    </w:p>
    <w:p w:rsidR="00FD5433" w:rsidRPr="00FD5433" w:rsidRDefault="00FD5433" w:rsidP="00FD5433">
      <w:pPr>
        <w:autoSpaceDE w:val="0"/>
        <w:rPr>
          <w:rFonts w:cs="Times New Roman"/>
          <w:color w:val="000000"/>
          <w:sz w:val="22"/>
          <w:szCs w:val="22"/>
        </w:rPr>
      </w:pPr>
      <w:r w:rsidRPr="00FD5433">
        <w:rPr>
          <w:rFonts w:cs="Times New Roman"/>
          <w:color w:val="000000"/>
          <w:sz w:val="22"/>
          <w:szCs w:val="22"/>
        </w:rPr>
        <w:t>W stosunku do struktury w Polsce, na obszarze LGD wyższy odsetek podmiotów w sekcji C mają następujące działy:</w:t>
      </w:r>
    </w:p>
    <w:p w:rsidR="00FD5433" w:rsidRPr="00FD5433" w:rsidRDefault="00FD5433" w:rsidP="00FD5433">
      <w:pPr>
        <w:widowControl/>
        <w:numPr>
          <w:ilvl w:val="0"/>
          <w:numId w:val="4"/>
        </w:numPr>
        <w:autoSpaceDE w:val="0"/>
        <w:rPr>
          <w:rFonts w:cs="Times New Roman"/>
          <w:color w:val="000000"/>
          <w:sz w:val="22"/>
          <w:szCs w:val="22"/>
        </w:rPr>
      </w:pPr>
      <w:r w:rsidRPr="00FD5433">
        <w:rPr>
          <w:rFonts w:cs="Times New Roman"/>
          <w:color w:val="000000"/>
          <w:sz w:val="22"/>
          <w:szCs w:val="22"/>
        </w:rPr>
        <w:t>10 - produkcja artykułów spożywczych – 14% (w Polsce  - 9%)</w:t>
      </w:r>
    </w:p>
    <w:p w:rsidR="00FD5433" w:rsidRPr="00FD5433" w:rsidRDefault="00FD5433" w:rsidP="00FD5433">
      <w:pPr>
        <w:widowControl/>
        <w:numPr>
          <w:ilvl w:val="0"/>
          <w:numId w:val="4"/>
        </w:numPr>
        <w:autoSpaceDE w:val="0"/>
        <w:rPr>
          <w:rFonts w:cs="Times New Roman"/>
          <w:color w:val="000000"/>
          <w:sz w:val="22"/>
          <w:szCs w:val="22"/>
        </w:rPr>
      </w:pPr>
      <w:r w:rsidRPr="00FD5433">
        <w:rPr>
          <w:rFonts w:cs="Times New Roman"/>
          <w:color w:val="000000"/>
          <w:sz w:val="22"/>
          <w:szCs w:val="22"/>
        </w:rPr>
        <w:t xml:space="preserve">16 - produkcja wyrobów z drewna oraz korka, z wyłączeniem mebli; produkcja wyrobów ze słomy </w:t>
      </w:r>
      <w:r w:rsidRPr="00FD5433">
        <w:rPr>
          <w:rFonts w:cs="Times New Roman"/>
          <w:color w:val="000000"/>
          <w:sz w:val="22"/>
          <w:szCs w:val="22"/>
        </w:rPr>
        <w:br/>
        <w:t>i materiałów używanych do wyplatania – 16% (w Polsce – 10%)</w:t>
      </w:r>
    </w:p>
    <w:p w:rsidR="00FD5433" w:rsidRPr="00FD5433" w:rsidRDefault="00FD5433" w:rsidP="00FD5433">
      <w:pPr>
        <w:widowControl/>
        <w:numPr>
          <w:ilvl w:val="0"/>
          <w:numId w:val="4"/>
        </w:numPr>
        <w:autoSpaceDE w:val="0"/>
        <w:rPr>
          <w:rFonts w:cs="Times New Roman"/>
          <w:color w:val="000000"/>
          <w:sz w:val="22"/>
          <w:szCs w:val="22"/>
        </w:rPr>
      </w:pPr>
      <w:r w:rsidRPr="00FD5433">
        <w:rPr>
          <w:rFonts w:cs="Times New Roman"/>
          <w:color w:val="000000"/>
          <w:sz w:val="22"/>
          <w:szCs w:val="22"/>
        </w:rPr>
        <w:t>23 - produkcja wyrobów z pozostałych mineralnych surowców niemetalicznych – 16% (w Polsce – 6%),</w:t>
      </w:r>
    </w:p>
    <w:p w:rsidR="00FD5433" w:rsidRPr="00FD5433" w:rsidRDefault="00FD5433" w:rsidP="00FD5433">
      <w:pPr>
        <w:jc w:val="both"/>
        <w:rPr>
          <w:rFonts w:cs="Times New Roman"/>
          <w:color w:val="000000"/>
          <w:sz w:val="22"/>
          <w:szCs w:val="22"/>
        </w:rPr>
      </w:pPr>
    </w:p>
    <w:p w:rsidR="00FD5433" w:rsidRPr="00FD5433" w:rsidRDefault="00FD5433" w:rsidP="00FD5433">
      <w:pPr>
        <w:jc w:val="both"/>
        <w:rPr>
          <w:rFonts w:cs="Times New Roman"/>
          <w:color w:val="000000"/>
          <w:sz w:val="22"/>
          <w:szCs w:val="22"/>
        </w:rPr>
      </w:pPr>
      <w:r w:rsidRPr="00FD5433">
        <w:rPr>
          <w:rFonts w:cs="Times New Roman"/>
          <w:noProof/>
          <w:color w:val="000000"/>
          <w:sz w:val="22"/>
          <w:szCs w:val="22"/>
          <w:lang w:eastAsia="ar-SA" w:bidi="ar-SA"/>
        </w:rPr>
        <w:lastRenderedPageBreak/>
        <mc:AlternateContent>
          <mc:Choice Requires="wpg">
            <w:drawing>
              <wp:inline distT="0" distB="0" distL="0" distR="0">
                <wp:extent cx="5337175" cy="2028825"/>
                <wp:effectExtent l="0" t="2540" r="0" b="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2028825"/>
                          <a:chOff x="0" y="0"/>
                          <a:chExt cx="9971" cy="3977"/>
                        </a:xfrm>
                      </wpg:grpSpPr>
                      <wps:wsp>
                        <wps:cNvPr id="2" name="Rectangle 7"/>
                        <wps:cNvSpPr>
                          <a:spLocks noChangeArrowheads="1"/>
                        </wps:cNvSpPr>
                        <wps:spPr bwMode="auto">
                          <a:xfrm>
                            <a:off x="0" y="0"/>
                            <a:ext cx="9970" cy="39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3"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
                            <a:ext cx="6717" cy="396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54" y="32"/>
                            <a:ext cx="6615" cy="394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0B24FD23" id="Grupa 1" o:spid="_x0000_s1026" style="width:420.25pt;height:159.75pt;mso-position-horizontal-relative:char;mso-position-vertical-relative:line" coordsize="9971,39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">
                <v:rect id="Rectangle 7" o:spid="_x0000_s1027" style="position:absolute;width:9970;height:39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shape id="Picture 8" o:spid="_x0000_s1028" type="#_x0000_t75" style="position:absolute;top:12;width:6717;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" strokecolor="gray">
                  <v:fill recolor="t" type="frame"/>
                  <v:stroke joinstyle="round"/>
                  <v:imagedata r:id="rId13" o:title=""/>
                </v:shape>
                <v:shape id="Picture 9" o:spid="_x0000_s1029" type="#_x0000_t75" style="position:absolute;left:3354;top:32;width:6615;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" strokecolor="gray">
                  <v:fill recolor="t" type="frame"/>
                  <v:stroke joinstyle="round"/>
                  <v:imagedata r:id="rId14" o:title=""/>
                </v:shape>
                <w10:anchorlock/>
              </v:group>
            </w:pict>
          </mc:Fallback>
        </mc:AlternateContent>
      </w:r>
    </w:p>
    <w:p w:rsidR="00FD5433" w:rsidRPr="00FD5433" w:rsidRDefault="00FD5433" w:rsidP="00FD5433">
      <w:pPr>
        <w:jc w:val="both"/>
        <w:rPr>
          <w:rFonts w:cs="Times New Roman"/>
          <w:color w:val="000000"/>
          <w:sz w:val="22"/>
          <w:szCs w:val="22"/>
        </w:rPr>
      </w:pPr>
      <w:r w:rsidRPr="00FD5433">
        <w:rPr>
          <w:rFonts w:cs="Times New Roman"/>
          <w:color w:val="000000"/>
          <w:sz w:val="22"/>
          <w:szCs w:val="22"/>
        </w:rPr>
        <w:tab/>
      </w:r>
      <w:r w:rsidRPr="00FD5433">
        <w:rPr>
          <w:rFonts w:cs="Times New Roman"/>
          <w:color w:val="000000"/>
          <w:sz w:val="22"/>
          <w:szCs w:val="22"/>
        </w:rPr>
        <w:tab/>
        <w:t>DOLINA RABY</w:t>
      </w:r>
      <w:r w:rsidRPr="00FD5433">
        <w:rPr>
          <w:rFonts w:cs="Times New Roman"/>
          <w:color w:val="000000"/>
          <w:sz w:val="22"/>
          <w:szCs w:val="22"/>
        </w:rPr>
        <w:tab/>
      </w:r>
      <w:r w:rsidRPr="00FD5433">
        <w:rPr>
          <w:rFonts w:cs="Times New Roman"/>
          <w:color w:val="000000"/>
          <w:sz w:val="22"/>
          <w:szCs w:val="22"/>
        </w:rPr>
        <w:tab/>
      </w:r>
      <w:r w:rsidRPr="00FD5433">
        <w:rPr>
          <w:rFonts w:cs="Times New Roman"/>
          <w:color w:val="000000"/>
          <w:sz w:val="22"/>
          <w:szCs w:val="22"/>
        </w:rPr>
        <w:tab/>
        <w:t>POLSKA</w:t>
      </w:r>
    </w:p>
    <w:p w:rsidR="00FD5433" w:rsidRPr="00FD5433" w:rsidRDefault="00FD5433" w:rsidP="00FD5433">
      <w:pPr>
        <w:autoSpaceDE w:val="0"/>
        <w:rPr>
          <w:rFonts w:cs="Times New Roman"/>
          <w:color w:val="000000"/>
          <w:sz w:val="22"/>
          <w:szCs w:val="22"/>
        </w:rPr>
      </w:pPr>
      <w:r w:rsidRPr="00FD5433">
        <w:rPr>
          <w:rFonts w:cs="Times New Roman"/>
          <w:color w:val="000000"/>
          <w:sz w:val="22"/>
          <w:szCs w:val="22"/>
        </w:rPr>
        <w:t xml:space="preserve">a zdecydowanie niższy: </w:t>
      </w:r>
    </w:p>
    <w:p w:rsidR="00FD5433" w:rsidRPr="00FD5433" w:rsidRDefault="00FD5433" w:rsidP="00FD5433">
      <w:pPr>
        <w:widowControl/>
        <w:numPr>
          <w:ilvl w:val="0"/>
          <w:numId w:val="5"/>
        </w:numPr>
        <w:autoSpaceDE w:val="0"/>
        <w:spacing w:line="100" w:lineRule="atLeast"/>
        <w:rPr>
          <w:rFonts w:cs="Times New Roman"/>
          <w:color w:val="000000"/>
          <w:sz w:val="22"/>
          <w:szCs w:val="22"/>
        </w:rPr>
      </w:pPr>
      <w:r w:rsidRPr="00FD5433">
        <w:rPr>
          <w:rFonts w:cs="Times New Roman"/>
          <w:color w:val="000000"/>
          <w:sz w:val="22"/>
          <w:szCs w:val="22"/>
        </w:rPr>
        <w:t>25 - produkcja metalowych wyrobów gotowych, z wyłączeniem maszyn i urządzeń – 13% (w Polsce – 16%)</w:t>
      </w:r>
    </w:p>
    <w:p w:rsidR="00FD5433" w:rsidRPr="00FD5433" w:rsidRDefault="00FD5433" w:rsidP="00FD5433">
      <w:pPr>
        <w:widowControl/>
        <w:numPr>
          <w:ilvl w:val="0"/>
          <w:numId w:val="5"/>
        </w:numPr>
        <w:autoSpaceDE w:val="0"/>
        <w:spacing w:line="100" w:lineRule="atLeast"/>
        <w:rPr>
          <w:rFonts w:cs="Times New Roman"/>
          <w:color w:val="000000"/>
          <w:sz w:val="22"/>
          <w:szCs w:val="22"/>
        </w:rPr>
      </w:pPr>
      <w:r w:rsidRPr="00FD5433">
        <w:rPr>
          <w:rFonts w:cs="Times New Roman"/>
          <w:color w:val="000000"/>
          <w:sz w:val="22"/>
          <w:szCs w:val="22"/>
        </w:rPr>
        <w:t>33 - naprawa, konserwacja i instalowanie maszyn i urządzeń – 8% (w Polsce – 12%).</w:t>
      </w:r>
    </w:p>
    <w:p w:rsidR="00FD5433" w:rsidRPr="00FD5433" w:rsidRDefault="00FD5433" w:rsidP="00FD5433">
      <w:pPr>
        <w:jc w:val="both"/>
        <w:rPr>
          <w:rFonts w:cs="Times New Roman"/>
          <w:color w:val="000000"/>
          <w:sz w:val="22"/>
          <w:szCs w:val="22"/>
        </w:rPr>
      </w:pPr>
      <w:r w:rsidRPr="00FD5433">
        <w:rPr>
          <w:rFonts w:cs="Times New Roman"/>
          <w:color w:val="000000"/>
          <w:sz w:val="22"/>
          <w:szCs w:val="22"/>
        </w:rPr>
        <w:t>Dział 23 - produkcja wyrobów z pozostałych mineralnych surowców niemetalicznych, związany jest  budownictwem – sekcją która dominuje na obszarze LGD.</w:t>
      </w:r>
    </w:p>
    <w:p w:rsidR="00FD5433" w:rsidRPr="00FD5433" w:rsidRDefault="00FD5433" w:rsidP="00FD5433">
      <w:pPr>
        <w:jc w:val="both"/>
        <w:rPr>
          <w:rFonts w:cs="Times New Roman"/>
          <w:strike/>
          <w:color w:val="000000"/>
          <w:sz w:val="22"/>
          <w:szCs w:val="22"/>
        </w:rPr>
      </w:pPr>
      <w:r w:rsidRPr="00FD5433">
        <w:rPr>
          <w:rFonts w:cs="Times New Roman"/>
          <w:color w:val="000000"/>
          <w:sz w:val="22"/>
          <w:szCs w:val="22"/>
        </w:rPr>
        <w:t xml:space="preserve">4) </w:t>
      </w:r>
      <w:r w:rsidRPr="00FD5433">
        <w:rPr>
          <w:rFonts w:cs="Times New Roman"/>
          <w:b/>
          <w:color w:val="000000"/>
          <w:sz w:val="22"/>
          <w:szCs w:val="22"/>
          <w:u w:val="single"/>
        </w:rPr>
        <w:t>Branże z potencjałem rozwojowym (branże mające kluczowe znaczenie dla rozwoju obszaru)</w:t>
      </w:r>
      <w:r w:rsidRPr="00FD5433">
        <w:rPr>
          <w:rFonts w:cs="Times New Roman"/>
          <w:color w:val="000000"/>
          <w:sz w:val="22"/>
          <w:szCs w:val="22"/>
        </w:rPr>
        <w:t>. W trakcie prac zdecydowano o podjęciu inicjatyw klastrowych w zakresie dwóch branż z potencjałem rozwojowym (których jest w regionie więcej w stosunku do innych w strukturze firm w kraju): budowlanej i spożywczej. Klastry, dzięki geograficznej koncentracji firm jednej branży lub pokrewnych w jednym miejscu i ich współpracy ze środowiskiem nauki, mogą lepiej konkurować na rynku poprzez wspólne i komplementarne działania czy też podejmować działania innowacyjne. Spotkania konsultacyjne z przedsiębiorstwami wskazały na brak ich współpracy z instytucjami naukowymi, brak działań związanych z wdrażaniem nowych technologii i innowacji oraz wiedzy nt. możliwości wsparcia w tym zakresie. Klastry, w których partnerami przedsiębiorstw będą ośrodki naukowe i szkoleniowe, pozwoli ten brak innowacyjności firm poprawić. Najbardziej znanym klastrem na świecie jest „Krzemowa Dolina” – skupisko firm komputerowych i informatycznych. Ale też klaster stanowi większe ryzyko dla lokalnej społeczności. Duża koncentracja jednej branży i nieproporcjonalny udział poszczególnych działów w pojedynczych sekcjach gospodarki, może stanowić zagrożenie, chociażby w przypadku potencjalnych spadków koniunktury. Upadek branży w klastrze wywołuje nieporównywalnie większy skutek niż w gospodarce bardziej zdywersyfikowanej. Jedną z metod obniżenia ryzyka jest innowacyjność i transfer technologii, mająca na celu wyprzedzanie konkurencji. Szansą dla rozwoju klastrów są środki unijne, które w dużej mierze przeznaczono w okresie programowania 2014-2020, zarówno na poziomie krajowym, jak i regionalnym, na rozwój innowacji i nowych technologii. Wynika to z faktu, że pierwszym celem Strategii 2020 jest „</w:t>
      </w:r>
      <w:r w:rsidRPr="00FD5433">
        <w:rPr>
          <w:rFonts w:eastAsia="TimesNewRoman"/>
          <w:b/>
          <w:sz w:val="22"/>
          <w:szCs w:val="22"/>
        </w:rPr>
        <w:t>rozwój inteligentny</w:t>
      </w:r>
      <w:r w:rsidRPr="00FD5433">
        <w:rPr>
          <w:rFonts w:eastAsia="TimesNewRoman"/>
          <w:sz w:val="22"/>
          <w:szCs w:val="22"/>
        </w:rPr>
        <w:t xml:space="preserve">: </w:t>
      </w:r>
      <w:r w:rsidRPr="00FD5433">
        <w:rPr>
          <w:rFonts w:eastAsia="TimesNewRoman"/>
          <w:b/>
          <w:sz w:val="22"/>
          <w:szCs w:val="22"/>
        </w:rPr>
        <w:t>rozwój gospodarki opartej na wiedzy i innowacji</w:t>
      </w:r>
      <w:r w:rsidRPr="00FD5433">
        <w:rPr>
          <w:rFonts w:eastAsia="TimesNewRoman"/>
          <w:sz w:val="22"/>
          <w:szCs w:val="22"/>
        </w:rPr>
        <w:t>”</w:t>
      </w:r>
      <w:r w:rsidRPr="00FD5433">
        <w:rPr>
          <w:rFonts w:cs="Times New Roman"/>
          <w:color w:val="000000"/>
          <w:sz w:val="22"/>
          <w:szCs w:val="22"/>
        </w:rPr>
        <w:t xml:space="preserve">. </w:t>
      </w:r>
      <w:r w:rsidRPr="00FD5433">
        <w:rPr>
          <w:rFonts w:cs="Times New Roman"/>
          <w:sz w:val="22"/>
          <w:szCs w:val="22"/>
        </w:rPr>
        <w:t>W pierwszej połowie 2020 roku w wyniku konsultacji społecznych z przedsiębiorcami jak również prac Forum Lokalnego zdecydowano, że w tym okresie programowania inicjatywy klastrowe nie będą kontynuowane w postaci realizacji projektów własnych.</w:t>
      </w:r>
    </w:p>
    <w:p w:rsidR="00FD5433" w:rsidRPr="00FD5433" w:rsidRDefault="00FD5433" w:rsidP="00FD5433">
      <w:pPr>
        <w:jc w:val="both"/>
        <w:rPr>
          <w:rFonts w:cs="Times New Roman"/>
          <w:color w:val="000000"/>
          <w:sz w:val="22"/>
          <w:szCs w:val="22"/>
        </w:rPr>
      </w:pPr>
      <w:r w:rsidRPr="00FD5433">
        <w:rPr>
          <w:sz w:val="22"/>
          <w:szCs w:val="22"/>
        </w:rPr>
        <w:t xml:space="preserve">5) W okresie 2007-2013 kilku przedsiębiorców utworzyło lub rozwinęło swoje firmy branży spożywczej </w:t>
      </w:r>
      <w:r w:rsidRPr="00FD5433">
        <w:rPr>
          <w:sz w:val="22"/>
          <w:szCs w:val="22"/>
        </w:rPr>
        <w:br/>
        <w:t xml:space="preserve">w ramach Osi Leader. </w:t>
      </w:r>
      <w:r w:rsidRPr="00FD5433">
        <w:rPr>
          <w:color w:val="000000"/>
          <w:sz w:val="22"/>
          <w:szCs w:val="22"/>
        </w:rPr>
        <w:t>Szansą dla rozwoju tej branży jest rosnące zainteresowanie tradycyjną żywnością i zdrowym stylem życia</w:t>
      </w:r>
      <w:r w:rsidRPr="00FD5433">
        <w:rPr>
          <w:sz w:val="22"/>
          <w:szCs w:val="22"/>
        </w:rPr>
        <w:t xml:space="preserve"> W maju 2015 r. LGD „Dolina Raby” wraz ze Stowarzyszeniem „Na Bursztynowym Szlaku” powołała do życia Spółdzielnię Socjalną „Dolina Raby”. Spółdzielnia zarejestrowana została 1.09.2015 r. Jej głównym kierunkiem działalności jest produkcja żywności i napojów. Spółdzielnia jest </w:t>
      </w:r>
      <w:r w:rsidRPr="00FD5433">
        <w:rPr>
          <w:b/>
          <w:sz w:val="22"/>
          <w:szCs w:val="22"/>
          <w:u w:val="single"/>
        </w:rPr>
        <w:t>podmiotem ekonomii (przedsiębiorczości) społecznej</w:t>
      </w:r>
      <w:r w:rsidRPr="00FD5433">
        <w:rPr>
          <w:b/>
          <w:sz w:val="22"/>
          <w:szCs w:val="22"/>
        </w:rPr>
        <w:t xml:space="preserve"> </w:t>
      </w:r>
      <w:r w:rsidRPr="00FD5433">
        <w:rPr>
          <w:sz w:val="22"/>
          <w:szCs w:val="22"/>
        </w:rPr>
        <w:t xml:space="preserve">podobnie jak 16 innych podmiotów na obszarze LGD, w tym 9 spółdzielni,  </w:t>
      </w:r>
      <w:r w:rsidRPr="00FD5433">
        <w:rPr>
          <w:rFonts w:cs="Times New Roman"/>
          <w:sz w:val="22"/>
          <w:szCs w:val="22"/>
        </w:rPr>
        <w:t>4 stowarzyszenia i 4 fundacje prowadzące działalność gospod.</w:t>
      </w:r>
    </w:p>
    <w:p w:rsidR="00FD5433" w:rsidRPr="00FD5433" w:rsidRDefault="00FD5433" w:rsidP="00FD5433">
      <w:pPr>
        <w:jc w:val="both"/>
        <w:rPr>
          <w:rFonts w:cs="Times New Roman"/>
          <w:sz w:val="22"/>
          <w:szCs w:val="22"/>
        </w:rPr>
      </w:pPr>
      <w:r w:rsidRPr="00FD5433">
        <w:rPr>
          <w:rFonts w:cs="Times New Roman"/>
          <w:sz w:val="22"/>
          <w:szCs w:val="22"/>
        </w:rPr>
        <w:t xml:space="preserve">6) Na obszarze LGD jest 114 podmiotów branży turystycznej – w sekcji I – działalność związana z zakwaterowaniem i usługami gastron. Firmy tej sekcji stanowią 2,5% ogółu przedsięb. na obszarze LGD. W woj. małopolskim analogicznie firmy tej sekcji stanowią 3,81%, a w Polsce – 3,12%. W BDL GUS, kategorii Turystyka, znajduje się 10 turystycznych obiektów noclegowych na obszarze LGD, w </w:t>
      </w:r>
      <w:r w:rsidRPr="00FD5433">
        <w:rPr>
          <w:rFonts w:cs="Times New Roman"/>
          <w:sz w:val="22"/>
          <w:szCs w:val="22"/>
        </w:rPr>
        <w:lastRenderedPageBreak/>
        <w:t>tym m.in. 5 hoteli i 1 pole biwakowe (w Łapanowie). Liczba turystycznych obiektów noclegowych na 10 tys. mieszk. daje wskaźnik 1,67, który dla wojew. wynosi 4,21, a dla Polski – 2,57. Liczba osób korzystających z noclegów na 100 mieszkańców (</w:t>
      </w:r>
      <w:r w:rsidRPr="00FD5433">
        <w:rPr>
          <w:rFonts w:cs="Times New Roman"/>
          <w:color w:val="000000"/>
          <w:sz w:val="22"/>
          <w:szCs w:val="22"/>
        </w:rPr>
        <w:t>wskaźnik Schneidera) w 2014 r.</w:t>
      </w:r>
      <w:r w:rsidRPr="00FD5433">
        <w:rPr>
          <w:rFonts w:cs="Times New Roman"/>
          <w:sz w:val="22"/>
          <w:szCs w:val="22"/>
        </w:rPr>
        <w:t xml:space="preserve"> wyniosła 10,7 i wskaźnik ten był zdecydowanie niższy niż dla województwa – 111,3 i Polski – 65,2. Niemniej turystyka stanowi szansę dodatkowych dochodów dla małych gospodarstw rolnych, które są licznie reprezentowane na obszarze LGD. Na obszarze LGD jest 27 obiektów agroturystycznych, które nie są ujęte w statystyce GUS. Szansą dla rozwoju turystyki wiejskiej są z</w:t>
      </w:r>
      <w:r w:rsidRPr="00FD5433">
        <w:rPr>
          <w:color w:val="000000"/>
          <w:sz w:val="22"/>
          <w:szCs w:val="22"/>
        </w:rPr>
        <w:t>miany w zwyczajach turystów np. korzystanie z aktywnych form wypoczynku i rozwój turystyki weekendowej</w:t>
      </w:r>
      <w:r w:rsidRPr="00FD5433">
        <w:rPr>
          <w:rFonts w:cs="Times New Roman"/>
          <w:sz w:val="22"/>
          <w:szCs w:val="22"/>
        </w:rPr>
        <w:t>.</w:t>
      </w:r>
    </w:p>
    <w:p w:rsidR="00FD5433" w:rsidRPr="00FD5433" w:rsidRDefault="00FD5433" w:rsidP="00FD5433">
      <w:pPr>
        <w:jc w:val="both"/>
        <w:rPr>
          <w:rFonts w:cs="Times New Roman"/>
          <w:sz w:val="22"/>
          <w:szCs w:val="22"/>
        </w:rPr>
      </w:pPr>
      <w:r w:rsidRPr="00FD5433">
        <w:rPr>
          <w:rFonts w:cs="Times New Roman"/>
          <w:color w:val="000000"/>
          <w:sz w:val="22"/>
          <w:szCs w:val="22"/>
        </w:rPr>
        <w:t xml:space="preserve">7) Średnia wielkość gospodarstwa rolnego (grunty ogółem) na obszarze LGD to, wg Spisu Rolnego w 2010 r. - 2,59 ha. W województwie średnia ta wyniosła 2,96 ha, a w Polsce, znacznie więcej – 7,94 ha. Wg tego samego Spisu Rolnego na obszarze LGD było 19,1% gospodarstw rolnych bez dochodów z działalności rolniczej. Jest to więcej niż w Polsce – </w:t>
      </w:r>
      <w:r w:rsidRPr="00FD5433">
        <w:rPr>
          <w:rFonts w:cs="Times New Roman"/>
          <w:sz w:val="22"/>
          <w:szCs w:val="22"/>
        </w:rPr>
        <w:t xml:space="preserve">17,2%, ale mniej niż </w:t>
      </w:r>
      <w:r w:rsidRPr="00FD5433">
        <w:rPr>
          <w:rFonts w:cs="Times New Roman"/>
          <w:color w:val="000000"/>
          <w:sz w:val="22"/>
          <w:szCs w:val="22"/>
        </w:rPr>
        <w:t>w województwie – 22,5%</w:t>
      </w:r>
      <w:r w:rsidRPr="00FD5433">
        <w:rPr>
          <w:rFonts w:cs="Times New Roman"/>
          <w:sz w:val="22"/>
          <w:szCs w:val="22"/>
        </w:rPr>
        <w:t>. W własnym badaniu ankietowym 5,86% respondentów wskazało jako główne źródło dochodów – dochody z rolnictwa. Inicjatywa klastra spożywczego ma m.in. na celu zwiększenie tych dochodów gospodarstw rolnych poprzez podniesienie jednostkowej wartości produkcji rolniczej – sprzedaż w większym stopniu przetworzonych niż tylko podstawowych produktów.</w:t>
      </w:r>
    </w:p>
    <w:p w:rsidR="00FD5433" w:rsidRPr="00FD5433" w:rsidRDefault="00FD5433" w:rsidP="00FD5433">
      <w:pPr>
        <w:jc w:val="both"/>
        <w:rPr>
          <w:rFonts w:cs="Times New Roman"/>
          <w:sz w:val="22"/>
          <w:szCs w:val="22"/>
        </w:rPr>
      </w:pPr>
      <w:r w:rsidRPr="00FD5433">
        <w:rPr>
          <w:rFonts w:cs="Times New Roman"/>
          <w:sz w:val="22"/>
          <w:szCs w:val="22"/>
        </w:rPr>
        <w:t xml:space="preserve">8) W Polsce gospodarka leśna jest zdominowana przez PGL „Lasy Państwowe”. Na obszarze LGD, lasy prywatne i gminne stanowią 62,6% powierzchni lasów ogółem, podczas gdy w Polsce tylko 19,6%, a w woj. małopolskim – 45,7%.  </w:t>
      </w:r>
    </w:p>
    <w:p w:rsidR="00FD5433" w:rsidRPr="00FD5433" w:rsidRDefault="00FD5433" w:rsidP="00FD5433">
      <w:pPr>
        <w:jc w:val="both"/>
        <w:rPr>
          <w:rFonts w:cs="Times New Roman"/>
          <w:sz w:val="22"/>
          <w:szCs w:val="22"/>
        </w:rPr>
      </w:pPr>
      <w:r w:rsidRPr="00FD5433">
        <w:rPr>
          <w:rFonts w:cs="Times New Roman"/>
          <w:sz w:val="22"/>
          <w:szCs w:val="22"/>
        </w:rPr>
        <w:t xml:space="preserve">9) W sferze usług, w grupie ośmiu (na 30) najniżej ocenionych zagadnień, w badaniu własnym, znalazły się dostępność do lekarzy specjalistów oraz dostępność i jakość opieki w żłobkach. Problem dostępu do lekarzy specjalistów jest problemem ogólnopolskim, dotyczącym zarówno obszarów wiejskich, jak i miast. Słabą opiekę żłobkową potwierdzają dane statystyczne GUS – na obszarze LGD odsetek dzieci w wieku do 3 lat objętych opieką w żłobkach wyniósł w 2014 r. – 1,08%, podczas gdy w województwie i w kraju analogiczne wskaźniki były wyższe – odpowiednio 5,21% i 5,90%. W ramach pytania otwartego, jakich usług brakuje najbardziej - najwięcej zgłoszono uwag o braku miejsc do spędzania wolnego czasu przez młodzież, ale i osoby starsze. Wskazano też na brak dobrej restauracji lub kawiarni oraz zawodów takich jak szewc czy zegarmistrz. Potrzeba usług wynika z ogólnego </w:t>
      </w:r>
      <w:r w:rsidRPr="00FD5433">
        <w:rPr>
          <w:color w:val="000000"/>
          <w:sz w:val="22"/>
          <w:szCs w:val="22"/>
        </w:rPr>
        <w:t>trendu osiedlania się mieszkańców miast na terenach wiejskich.</w:t>
      </w:r>
    </w:p>
    <w:p w:rsidR="00FD5433" w:rsidRPr="00FD5433" w:rsidRDefault="00FD5433" w:rsidP="00FD5433">
      <w:pPr>
        <w:jc w:val="both"/>
        <w:rPr>
          <w:rFonts w:cs="Times New Roman"/>
          <w:color w:val="00B050"/>
          <w:sz w:val="22"/>
          <w:szCs w:val="22"/>
        </w:rPr>
      </w:pPr>
      <w:bookmarkStart w:id="2" w:name="_Hlk74216375"/>
      <w:r w:rsidRPr="00FD5433">
        <w:rPr>
          <w:rFonts w:cs="Times New Roman"/>
          <w:sz w:val="22"/>
          <w:szCs w:val="22"/>
        </w:rPr>
        <w:t xml:space="preserve">10) Najniżej w sferze edukacji respondenci badania własnego ocenili „Możliwość podnoszenia lub zmiany kwalifikacji przez osoby dorosłe” – 2,76 (w skali 1-5) i jest to jedno z sześciu najniżej ocenionych pytań (spośród 30 pytań). Z kolei „Edukacja na poziomie szkoły podstawowej” otrzymała ocenę 3,69 i jest to jedna z pięciu najwyższych ocen i „pozadomowe wychowanie przedszkolne” – 3,76 i czwarta pozycja oraz „edukacja na poziomie gimnazjalnym” – 3,67 i piąta pozycja. </w:t>
      </w:r>
      <w:r w:rsidRPr="00FD5433">
        <w:rPr>
          <w:rFonts w:cs="Times New Roman"/>
          <w:color w:val="00B050"/>
          <w:sz w:val="22"/>
          <w:szCs w:val="22"/>
        </w:rPr>
        <w:t xml:space="preserve">Podczas przeprowadzonych konsultacji społecznych w czerwcu 2021 roku zdiagnozowano, iż poza problemem słabej oferty edukacyjnej dla osób dorosłych występuje problem słabej oferty spędzania wolnego czasu dla dzieci, młodzieży jak i osób dorosłych. Wciąż brakuje odpowiedniej infrastruktury rekreacyjno-kulturalnej, a organizacje pozarządowe potrzebują zarówno odpowiedniego wyposażenia jak i środków finansowych na zapewnienie w/w grupom bezpłatnej oferty przedsięwzięć kulturalno-edukacyjnych. </w:t>
      </w:r>
    </w:p>
    <w:bookmarkEnd w:id="2"/>
    <w:p w:rsidR="00FD5433" w:rsidRPr="00FD5433" w:rsidRDefault="00FD5433" w:rsidP="00FD5433">
      <w:pPr>
        <w:jc w:val="both"/>
        <w:rPr>
          <w:rFonts w:cs="Times New Roman"/>
          <w:sz w:val="22"/>
          <w:szCs w:val="22"/>
        </w:rPr>
      </w:pPr>
      <w:r w:rsidRPr="00FD5433">
        <w:rPr>
          <w:rFonts w:cs="Times New Roman"/>
          <w:sz w:val="22"/>
          <w:szCs w:val="22"/>
        </w:rPr>
        <w:t>11)  W własnym badaniu ankietowym najwyższą ocenę uzyskało pytanie o „Możliwość i warunki dogodnego robienia zakupów” – 4,01 (w skali 1-5). To także wyraz ogólnych obaw o rozwój handlu wielkopowierzchniowego. Na drugim miejscu znalazło się pytanie o „Usługi telekomunikacyjne (dostępność, jakość) uzyskały ocenę 3,87. Szansą jest w tym zakresie ogólny rozwój Internetu, co może się wiązać z rozwojem zdalnych miejsc pracy.</w:t>
      </w:r>
    </w:p>
    <w:p w:rsidR="00FD5433" w:rsidRPr="00FD5433" w:rsidRDefault="00FD5433" w:rsidP="00FD5433">
      <w:pPr>
        <w:jc w:val="both"/>
        <w:rPr>
          <w:rFonts w:cs="Times New Roman"/>
          <w:color w:val="000000"/>
          <w:sz w:val="22"/>
          <w:szCs w:val="22"/>
        </w:rPr>
      </w:pPr>
      <w:r w:rsidRPr="00FD5433">
        <w:rPr>
          <w:rFonts w:cs="Times New Roman"/>
          <w:color w:val="000000"/>
          <w:sz w:val="22"/>
          <w:szCs w:val="22"/>
        </w:rPr>
        <w:t>12) Ważnym uwarunkowaniem dla rozwoju przedsiębiorczości, w różnych branżach (produkcji, turystyki) jest bezpośrednia bliskość obszaru LGD do drugiego pod względem wielkości miasta w Polsce, blisko 700 tysięcznego Krakowa, odwiedzanego przez ponad 10 mln turystów rocznie. Gmina Biskupice graniczy z gminą Wieliczka, która przylega do granic Krakowa. Z najdalszych miejsc obszaru LGD można dostać się do centrum Krakowa w ciągu dwóch godzin jazdy samochodem, o ile oczywiście nie ma tłoku na drogach.</w:t>
      </w:r>
    </w:p>
    <w:p w:rsidR="00FD5433" w:rsidRDefault="00FD5433" w:rsidP="00FD5433">
      <w:pPr>
        <w:jc w:val="both"/>
        <w:rPr>
          <w:rFonts w:cs="Times New Roman"/>
          <w:color w:val="000000"/>
          <w:sz w:val="22"/>
          <w:szCs w:val="22"/>
        </w:rPr>
      </w:pPr>
      <w:r w:rsidRPr="00FD5433">
        <w:rPr>
          <w:rFonts w:cs="Times New Roman"/>
          <w:color w:val="000000"/>
          <w:sz w:val="22"/>
          <w:szCs w:val="22"/>
        </w:rPr>
        <w:t>13) Drogi to także ważne uwarunkowanie dla działalności gospodarczej. Moją one oczywiście także duże znaczenie dla jakości życia. W tabeli poniżej przedstawiono wskaźniki dotyczące dróg gminnych i powiatowych o twardej nawierzchni dla powiatów bocheńskiego i wielickiego oraz dla porównania dla woj. małopolskiego i Polski (2014 r.).</w:t>
      </w:r>
    </w:p>
    <w:p w:rsidR="00AE1E16" w:rsidRPr="00FD5433" w:rsidRDefault="00AE1E16" w:rsidP="00FD5433">
      <w:pPr>
        <w:jc w:val="both"/>
        <w:rPr>
          <w:rFonts w:cs="Times New Roman"/>
          <w:color w:val="000000"/>
          <w:sz w:val="22"/>
          <w:szCs w:val="22"/>
        </w:rPr>
      </w:pPr>
    </w:p>
    <w:tbl>
      <w:tblPr>
        <w:tblW w:w="5000" w:type="pct"/>
        <w:tblLook w:val="0000" w:firstRow="0" w:lastRow="0" w:firstColumn="0" w:lastColumn="0" w:noHBand="0" w:noVBand="0"/>
      </w:tblPr>
      <w:tblGrid>
        <w:gridCol w:w="2660"/>
        <w:gridCol w:w="1597"/>
        <w:gridCol w:w="1597"/>
        <w:gridCol w:w="1597"/>
        <w:gridCol w:w="1611"/>
      </w:tblGrid>
      <w:tr w:rsidR="00FD5433" w:rsidRPr="00FD5433" w:rsidTr="007E3365">
        <w:tc>
          <w:tcPr>
            <w:tcW w:w="1468"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lastRenderedPageBreak/>
              <w:t>Wskaźnik</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Polska</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W. Małopolskie</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P. Bocheński</w:t>
            </w:r>
          </w:p>
        </w:tc>
        <w:tc>
          <w:tcPr>
            <w:tcW w:w="891" w:type="pct"/>
            <w:tcBorders>
              <w:top w:val="single" w:sz="4" w:space="0" w:color="000000"/>
              <w:left w:val="single" w:sz="4" w:space="0" w:color="000000"/>
              <w:bottom w:val="single" w:sz="4" w:space="0" w:color="000000"/>
              <w:right w:val="single" w:sz="4" w:space="0" w:color="000000"/>
            </w:tcBorders>
            <w:shd w:val="clear" w:color="auto" w:fill="auto"/>
          </w:tcPr>
          <w:p w:rsidR="00FD5433" w:rsidRPr="00FD5433" w:rsidRDefault="00FD5433" w:rsidP="00FD5433">
            <w:pPr>
              <w:jc w:val="center"/>
            </w:pPr>
            <w:r w:rsidRPr="00FD5433">
              <w:rPr>
                <w:rFonts w:cs="Times New Roman"/>
                <w:color w:val="000000"/>
                <w:sz w:val="22"/>
                <w:szCs w:val="22"/>
              </w:rPr>
              <w:t>P. Wielicki</w:t>
            </w:r>
          </w:p>
        </w:tc>
      </w:tr>
      <w:tr w:rsidR="00FD5433" w:rsidRPr="00FD5433" w:rsidTr="007E3365">
        <w:tc>
          <w:tcPr>
            <w:tcW w:w="1468"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both"/>
              <w:rPr>
                <w:rFonts w:cs="Times New Roman"/>
                <w:color w:val="000000"/>
                <w:sz w:val="22"/>
                <w:szCs w:val="22"/>
              </w:rPr>
            </w:pPr>
            <w:r w:rsidRPr="00FD5433">
              <w:rPr>
                <w:rFonts w:cs="Times New Roman"/>
                <w:color w:val="000000"/>
                <w:sz w:val="22"/>
                <w:szCs w:val="22"/>
              </w:rPr>
              <w:t>Na 10 tys. mieszkańców</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62,3</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64,8</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83,3</w:t>
            </w:r>
          </w:p>
        </w:tc>
        <w:tc>
          <w:tcPr>
            <w:tcW w:w="891" w:type="pct"/>
            <w:tcBorders>
              <w:top w:val="single" w:sz="4" w:space="0" w:color="000000"/>
              <w:left w:val="single" w:sz="4" w:space="0" w:color="000000"/>
              <w:bottom w:val="single" w:sz="4" w:space="0" w:color="000000"/>
              <w:right w:val="single" w:sz="4" w:space="0" w:color="000000"/>
            </w:tcBorders>
            <w:shd w:val="clear" w:color="auto" w:fill="auto"/>
          </w:tcPr>
          <w:p w:rsidR="00FD5433" w:rsidRPr="00FD5433" w:rsidRDefault="00FD5433" w:rsidP="00FD5433">
            <w:pPr>
              <w:jc w:val="center"/>
            </w:pPr>
            <w:r w:rsidRPr="00FD5433">
              <w:rPr>
                <w:rFonts w:cs="Times New Roman"/>
                <w:color w:val="000000"/>
                <w:sz w:val="22"/>
                <w:szCs w:val="22"/>
              </w:rPr>
              <w:t>61,7</w:t>
            </w:r>
          </w:p>
        </w:tc>
      </w:tr>
      <w:tr w:rsidR="00FD5433" w:rsidRPr="00FD5433" w:rsidTr="007E3365">
        <w:tc>
          <w:tcPr>
            <w:tcW w:w="1468"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both"/>
              <w:rPr>
                <w:rFonts w:cs="Times New Roman"/>
                <w:color w:val="000000"/>
                <w:sz w:val="22"/>
                <w:szCs w:val="22"/>
              </w:rPr>
            </w:pPr>
            <w:r w:rsidRPr="00FD5433">
              <w:rPr>
                <w:rFonts w:cs="Times New Roman"/>
                <w:color w:val="000000"/>
                <w:sz w:val="22"/>
                <w:szCs w:val="22"/>
              </w:rPr>
              <w:t>Na 100 km</w:t>
            </w:r>
            <w:r w:rsidRPr="00FD5433">
              <w:rPr>
                <w:rFonts w:cs="Times New Roman"/>
                <w:color w:val="000000"/>
                <w:sz w:val="22"/>
                <w:szCs w:val="22"/>
                <w:vertAlign w:val="superscript"/>
              </w:rPr>
              <w:t>2</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76,7</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143,8</w:t>
            </w:r>
          </w:p>
        </w:tc>
        <w:tc>
          <w:tcPr>
            <w:tcW w:w="881" w:type="pct"/>
            <w:tcBorders>
              <w:top w:val="single" w:sz="4" w:space="0" w:color="000000"/>
              <w:left w:val="single" w:sz="4" w:space="0" w:color="000000"/>
              <w:bottom w:val="single" w:sz="4" w:space="0" w:color="000000"/>
            </w:tcBorders>
            <w:shd w:val="clear" w:color="auto" w:fill="auto"/>
          </w:tcPr>
          <w:p w:rsidR="00FD5433" w:rsidRPr="00FD5433" w:rsidRDefault="00FD5433" w:rsidP="00FD5433">
            <w:pPr>
              <w:jc w:val="center"/>
              <w:rPr>
                <w:rFonts w:cs="Times New Roman"/>
                <w:color w:val="000000"/>
                <w:sz w:val="22"/>
                <w:szCs w:val="22"/>
              </w:rPr>
            </w:pPr>
            <w:r w:rsidRPr="00FD5433">
              <w:rPr>
                <w:rFonts w:cs="Times New Roman"/>
                <w:color w:val="000000"/>
                <w:sz w:val="22"/>
                <w:szCs w:val="22"/>
              </w:rPr>
              <w:t>135.0</w:t>
            </w:r>
          </w:p>
        </w:tc>
        <w:tc>
          <w:tcPr>
            <w:tcW w:w="891" w:type="pct"/>
            <w:tcBorders>
              <w:top w:val="single" w:sz="4" w:space="0" w:color="000000"/>
              <w:left w:val="single" w:sz="4" w:space="0" w:color="000000"/>
              <w:bottom w:val="single" w:sz="4" w:space="0" w:color="000000"/>
              <w:right w:val="single" w:sz="4" w:space="0" w:color="000000"/>
            </w:tcBorders>
            <w:shd w:val="clear" w:color="auto" w:fill="auto"/>
          </w:tcPr>
          <w:p w:rsidR="00FD5433" w:rsidRPr="00FD5433" w:rsidRDefault="00FD5433" w:rsidP="00FD5433">
            <w:pPr>
              <w:jc w:val="center"/>
            </w:pPr>
            <w:r w:rsidRPr="00FD5433">
              <w:rPr>
                <w:rFonts w:cs="Times New Roman"/>
                <w:color w:val="000000"/>
                <w:sz w:val="22"/>
                <w:szCs w:val="22"/>
              </w:rPr>
              <w:t>180,2</w:t>
            </w:r>
          </w:p>
        </w:tc>
      </w:tr>
    </w:tbl>
    <w:p w:rsidR="00FD5433" w:rsidRPr="00FD5433" w:rsidRDefault="00FD5433" w:rsidP="00FD5433">
      <w:pPr>
        <w:jc w:val="both"/>
        <w:rPr>
          <w:rFonts w:cs="Times New Roman"/>
          <w:color w:val="000000"/>
          <w:sz w:val="22"/>
          <w:szCs w:val="22"/>
        </w:rPr>
      </w:pPr>
      <w:r w:rsidRPr="00FD5433">
        <w:rPr>
          <w:rFonts w:cs="Times New Roman"/>
          <w:color w:val="000000"/>
          <w:sz w:val="22"/>
          <w:szCs w:val="22"/>
        </w:rPr>
        <w:t>Jak widać dostępność dróg twardych na mieszkańca jest w powiatach wyższa (bocheński) lub niewiele niższa (wielicki) niż w województwie czy Polsce. Natomiast długość dróg na 100 km</w:t>
      </w:r>
      <w:r w:rsidRPr="00FD5433">
        <w:rPr>
          <w:rFonts w:cs="Times New Roman"/>
          <w:color w:val="000000"/>
          <w:sz w:val="22"/>
          <w:szCs w:val="22"/>
          <w:vertAlign w:val="superscript"/>
        </w:rPr>
        <w:t>2</w:t>
      </w:r>
      <w:r w:rsidRPr="00FD5433">
        <w:rPr>
          <w:rFonts w:cs="Times New Roman"/>
          <w:color w:val="000000"/>
          <w:sz w:val="22"/>
          <w:szCs w:val="22"/>
        </w:rPr>
        <w:t xml:space="preserve"> jest w województwie i powiecie bocheńskim, a zwłaszcza w wielickim, zdecydowanie wyższa niż w Polsce. To wynik ogromnego rozdrobnienia gospodarstw w woj. małopolskim i w obu powiatach oraz rozproszenia zabudowy. To także oznacza, że w naszym województwie i powiatach, aby uzyskać tę samą dostępność na mieszkańca konieczne jest zbudowanie dwa razy i więcej km dróg. To oznacza także proporcjonalnie większe koszty na budowę, ale i utrzymanie dróg, co przy stałym deficycie środków finansowych dla samorządów, w dalszej konsekwencji może skutkować słabszą jakością dróg. W badaniu własnym pytanie o „jakość dróg” uzyskało ocenę 3,42 tzn. pomiędzy „ani dobrze, ani źle”, a „raczej dobrze” i uplasowało się na 16 pozycji na 30 pytań.</w:t>
      </w:r>
    </w:p>
    <w:p w:rsidR="00FD5433" w:rsidRPr="00FD5433" w:rsidRDefault="00FD5433" w:rsidP="00FD5433">
      <w:pPr>
        <w:jc w:val="both"/>
        <w:rPr>
          <w:rFonts w:cs="Times New Roman"/>
          <w:color w:val="000000"/>
          <w:sz w:val="22"/>
          <w:szCs w:val="22"/>
        </w:rPr>
      </w:pPr>
      <w:r w:rsidRPr="00FD5433">
        <w:rPr>
          <w:rFonts w:cs="Times New Roman"/>
          <w:color w:val="000000"/>
          <w:sz w:val="22"/>
          <w:szCs w:val="22"/>
        </w:rPr>
        <w:t xml:space="preserve">14) Zagrożeniami dla rozwoju przedsiębiorczości, które podnoszą przedsiębiorcy podczas spotkań informacyjno-szkoleniowych są duża biurokracja, szczególnie w zakresie pozyskiwania środków zewnętrznych, rosnące koszty energii i utrzymania, powodujące uciekanie przedsiębiorców w „szarą strefę”, </w:t>
      </w:r>
      <w:r w:rsidRPr="00FD5433">
        <w:rPr>
          <w:color w:val="000000"/>
          <w:sz w:val="22"/>
          <w:szCs w:val="22"/>
        </w:rPr>
        <w:t>ciągle zmieniające się, niespójne prawo, nieprzychylne dla przedsiębiorców</w:t>
      </w:r>
      <w:r w:rsidRPr="00FD5433">
        <w:rPr>
          <w:rFonts w:cs="Times New Roman"/>
          <w:color w:val="000000"/>
          <w:sz w:val="22"/>
          <w:szCs w:val="22"/>
        </w:rPr>
        <w:t xml:space="preserve"> oraz upolitycznienie instytucji publicznych.</w:t>
      </w:r>
    </w:p>
    <w:p w:rsidR="00FD5433" w:rsidRDefault="00FD5433" w:rsidP="00A6344A">
      <w:pPr>
        <w:jc w:val="both"/>
        <w:rPr>
          <w:b/>
          <w:sz w:val="22"/>
          <w:szCs w:val="22"/>
        </w:rPr>
      </w:pPr>
    </w:p>
    <w:p w:rsidR="00F968AA" w:rsidRPr="00F968AA" w:rsidRDefault="00F968AA" w:rsidP="00F968AA">
      <w:pPr>
        <w:rPr>
          <w:rFonts w:ascii="Calibri" w:eastAsia="Times New Roman" w:hAnsi="Calibri" w:cs="Calibri"/>
          <w:kern w:val="1"/>
          <w:sz w:val="22"/>
          <w:szCs w:val="22"/>
          <w:lang w:eastAsia="ar-SA" w:bidi="ar-SA"/>
        </w:rPr>
      </w:pPr>
      <w:r w:rsidRPr="00F968AA">
        <w:rPr>
          <w:rFonts w:ascii="Arial" w:eastAsia="Times New Roman" w:hAnsi="Arial" w:cs="Arial"/>
          <w:i/>
          <w:kern w:val="1"/>
          <w:sz w:val="26"/>
          <w:szCs w:val="26"/>
          <w:lang w:eastAsia="ar-SA" w:bidi="ar-SA"/>
        </w:rPr>
        <w:t>8. Kultura.</w:t>
      </w:r>
    </w:p>
    <w:p w:rsidR="00F968AA" w:rsidRPr="00F968AA" w:rsidRDefault="00F968AA" w:rsidP="00F968AA">
      <w:pPr>
        <w:jc w:val="both"/>
        <w:rPr>
          <w:color w:val="000000"/>
          <w:sz w:val="22"/>
          <w:szCs w:val="22"/>
        </w:rPr>
      </w:pPr>
      <w:r w:rsidRPr="00F968AA">
        <w:rPr>
          <w:sz w:val="22"/>
          <w:szCs w:val="22"/>
        </w:rPr>
        <w:t xml:space="preserve">1) Na obszarze LGD znajdują się </w:t>
      </w:r>
      <w:r w:rsidRPr="00F968AA">
        <w:rPr>
          <w:color w:val="000000"/>
          <w:sz w:val="22"/>
          <w:szCs w:val="22"/>
        </w:rPr>
        <w:t>liczne zabytki. Do najważniejszych należy Zamek w Nowym Wiśniczu, związany z rodziną Lubomirskich, z których kilku było hetmanami (jedno z najwyższych stanowisk w dawnej Polsce). Stanisław Lubomirski dowodził wojskami polskimi pod Chocimiem. W związku z tym corocznie, pod Zamkiem odbywa się inscenizacja tej bitwy. Inne zabytki to zamek w Wieruszycach, liczne kościoły i cmentarze wojskowe, gdzie znajdują m.in. się mogiły poległych w I wojnie światowej. Podczas tej wojny przez obszar LGD przebiegał jednej z frontów walk.</w:t>
      </w:r>
    </w:p>
    <w:p w:rsidR="00F968AA" w:rsidRPr="00F968AA" w:rsidRDefault="00F968AA" w:rsidP="00F968AA">
      <w:pPr>
        <w:jc w:val="both"/>
        <w:rPr>
          <w:color w:val="000000"/>
          <w:sz w:val="22"/>
          <w:szCs w:val="22"/>
        </w:rPr>
      </w:pPr>
      <w:r w:rsidRPr="00F968AA">
        <w:rPr>
          <w:color w:val="000000"/>
          <w:sz w:val="22"/>
          <w:szCs w:val="22"/>
        </w:rPr>
        <w:t>2) Obszar LGD jest mocno związany z, mniej kultywowanym w narodzie polskim, Powstaniem Krakowskim w 1846 r. Jedyna bitwa, a właściwie akt wymordowania powstańców polskich przez polskich chłopów miał miejsce pod Gdowem. Na cmentarzu w Gdowie znajduje się skromny kopiec pamięci poległych powstańców.</w:t>
      </w:r>
    </w:p>
    <w:p w:rsidR="00F968AA" w:rsidRPr="00F968AA" w:rsidRDefault="00F968AA" w:rsidP="00F968AA">
      <w:pPr>
        <w:jc w:val="both"/>
        <w:rPr>
          <w:color w:val="000000"/>
          <w:sz w:val="22"/>
          <w:szCs w:val="22"/>
        </w:rPr>
      </w:pPr>
      <w:r w:rsidRPr="00F968AA">
        <w:rPr>
          <w:color w:val="000000"/>
          <w:sz w:val="22"/>
          <w:szCs w:val="22"/>
        </w:rPr>
        <w:t>3) W Hucisku (gmina Gdów) znajduje się dom, w którym mieszkał znany na świecie reżyser teatralny – Tadeusz Kantor, założyciel Teatru Cricot 2 w Krakowie. Obok domu znajduje się rzeźba – siedmiometrowe krzesło. W domu znajdują się obrazy T. Kantora i jego żony – M. Stangret. Dom nie jest (a mógłby być) udostępniany zwiedzającym.</w:t>
      </w:r>
    </w:p>
    <w:p w:rsidR="00F968AA" w:rsidRPr="00F968AA" w:rsidRDefault="00F968AA" w:rsidP="00F968AA">
      <w:pPr>
        <w:jc w:val="both"/>
        <w:rPr>
          <w:color w:val="000000"/>
          <w:sz w:val="22"/>
          <w:szCs w:val="22"/>
        </w:rPr>
      </w:pPr>
      <w:r w:rsidRPr="00F968AA">
        <w:rPr>
          <w:color w:val="000000"/>
          <w:sz w:val="22"/>
          <w:szCs w:val="22"/>
        </w:rPr>
        <w:t>4) Obok Tadeusza Kantora i osób z rodziny Lubomirskich, obszar LGD związany jest z takimi nazwiskami jak  Karol Wojtyła, Stanisław Czerniecki, Andrzej Zieliński, Jan Matejko, Jan Henryk Dąbrowski, Kazimierz Brodziński. Karol Wojtyła, późniejszy papież Jan Paweł II, był wikarym w Niegowici (gmina Gdów). Stanisław Czerniecki był kuchmistrzem na Zamku w Nowym Wiśniczu i jest autorem pierwszej polskiej książki kucharskiej z 1682 r. Kompozytor i założyciel zespołu „Skaldowie” – Andrzej Zieliński urodził się w Gdowie. Od kilku lat odbywa się festiwal piosenki jego imienia. Jan Henryk Dąbrowski, generał, twórca Legionów Polskich we Włoszech, urodził się w Pierzchowie (gmina Gdów), gdzie znajduje się kopiec poświęcony jego osobie. Kazimierz Brodziński, poeta, uznawany za najwybitniejszego przedstawiciela preromantyzmu w Polsce, urodził się w Królówce (gmina Nowy Wiśnicz). Jan Matejko, najwybitniejszy polski malarz, mieszkał w Nowym Wiśniczu (teraz jest to muzeum).</w:t>
      </w:r>
    </w:p>
    <w:p w:rsidR="00F968AA" w:rsidRPr="00F968AA" w:rsidRDefault="00F968AA" w:rsidP="00F968AA">
      <w:pPr>
        <w:jc w:val="both"/>
        <w:rPr>
          <w:sz w:val="22"/>
          <w:szCs w:val="22"/>
        </w:rPr>
      </w:pPr>
      <w:r w:rsidRPr="00F968AA">
        <w:rPr>
          <w:color w:val="000000"/>
          <w:sz w:val="22"/>
          <w:szCs w:val="22"/>
        </w:rPr>
        <w:t xml:space="preserve">5) Na obszarze LGD funkcjonują liczne muzea, jak Muzeum regionalne w Nowym Wiśniczu, Muzeum Mleczarstwa w Królówce oraz izby regionalne. W ośrodkach kultury kultywowane są tradycje sztuki ludowej poprzez warsztaty działalność zespołów artystycznych. W lipcu 2015 roku otwarto, w wyniku realizacji projektu zewnętrznego przez LGD, Muzeum Książki Kucharskiej i Kulinarnej w Chrostowej, </w:t>
      </w:r>
      <w:r w:rsidRPr="00F968AA">
        <w:rPr>
          <w:color w:val="00B050"/>
          <w:sz w:val="22"/>
          <w:szCs w:val="22"/>
        </w:rPr>
        <w:t>które do 2020 roku zgromadziło ponad 300 woluminów książek i publikacji kulinarnych.</w:t>
      </w:r>
      <w:r w:rsidRPr="00F968AA">
        <w:rPr>
          <w:color w:val="000000"/>
          <w:sz w:val="22"/>
          <w:szCs w:val="22"/>
        </w:rPr>
        <w:t xml:space="preserve"> </w:t>
      </w:r>
      <w:r w:rsidRPr="00F968AA">
        <w:rPr>
          <w:color w:val="00B050"/>
          <w:sz w:val="22"/>
          <w:szCs w:val="22"/>
        </w:rPr>
        <w:t xml:space="preserve">Od 2020 z przyczyn niezależnych od właściciela muzeum przestało aktywnie funkcjonować. Zebrane przez Muzeum zasoby w postaci publikacji kulinarnych nie są obecnie w odpowiedni sposób wykorzystane. Sytuacja ta powoduje, że społeczność lokalna nie ma możliwości korzystania ze zbiorów muzeum i jego oferty edukacyjno-warsztatowej. Szczególnie cennymi pozycjami są publikacje z XIX i XX wieku jak </w:t>
      </w:r>
      <w:r w:rsidRPr="00F968AA">
        <w:rPr>
          <w:color w:val="00B050"/>
          <w:sz w:val="22"/>
          <w:szCs w:val="22"/>
        </w:rPr>
        <w:lastRenderedPageBreak/>
        <w:t xml:space="preserve">również publikacje o lokalnych i regionalnych kulinariach z terenu Polski i Europy wydawane często przez lokalne grupy działania.  </w:t>
      </w:r>
      <w:r w:rsidRPr="00F968AA">
        <w:rPr>
          <w:color w:val="000000"/>
          <w:sz w:val="22"/>
          <w:szCs w:val="22"/>
        </w:rPr>
        <w:t xml:space="preserve"> </w:t>
      </w:r>
    </w:p>
    <w:p w:rsidR="00F968AA" w:rsidRPr="00F968AA" w:rsidRDefault="00F968AA" w:rsidP="00F968AA">
      <w:pPr>
        <w:jc w:val="both"/>
        <w:rPr>
          <w:sz w:val="22"/>
          <w:szCs w:val="22"/>
        </w:rPr>
      </w:pPr>
      <w:r w:rsidRPr="00F968AA">
        <w:rPr>
          <w:sz w:val="22"/>
          <w:szCs w:val="22"/>
        </w:rPr>
        <w:t>6) Na obszarze LGD od wielu lat promuje się lokalne produkty żywnościowe i rzemieślnicze. Na liście produktów tradycyjnych MRiRW znajdują się produkty z obszaru LGD: Chleb żarnowy z Łomnej, Rosół polski (wg przepisu z pierwszej książki kucharskiej St. Czernieckiego), Podpłomyk z cebulą, Makaron Wiśnicki.</w:t>
      </w:r>
    </w:p>
    <w:p w:rsidR="00F968AA" w:rsidRPr="00F968AA" w:rsidRDefault="00F968AA" w:rsidP="00F968AA">
      <w:pPr>
        <w:jc w:val="both"/>
        <w:rPr>
          <w:sz w:val="22"/>
          <w:szCs w:val="22"/>
        </w:rPr>
      </w:pPr>
      <w:r w:rsidRPr="00F968AA">
        <w:rPr>
          <w:sz w:val="22"/>
          <w:szCs w:val="22"/>
        </w:rPr>
        <w:t>Najlepsze produkty lokalne, podobnie jak obiekty, atrakcje i oferty turystyczne opatrywane są lokalnym znakiem promocyjnym „Kogutek”.</w:t>
      </w:r>
    </w:p>
    <w:p w:rsidR="00F968AA" w:rsidRDefault="00F968AA" w:rsidP="00A6344A">
      <w:pPr>
        <w:jc w:val="both"/>
        <w:rPr>
          <w:b/>
          <w:sz w:val="22"/>
          <w:szCs w:val="22"/>
        </w:rPr>
      </w:pPr>
    </w:p>
    <w:p w:rsidR="00AE1E16" w:rsidRPr="00FE6DBC" w:rsidRDefault="00AE1E16" w:rsidP="00AE1E16">
      <w:pPr>
        <w:pStyle w:val="Nagwek1"/>
        <w:numPr>
          <w:ilvl w:val="0"/>
          <w:numId w:val="0"/>
        </w:numPr>
        <w:rPr>
          <w:rFonts w:ascii="Arial" w:hAnsi="Arial" w:cs="Arial"/>
          <w:sz w:val="28"/>
          <w:szCs w:val="28"/>
        </w:rPr>
      </w:pPr>
      <w:r w:rsidRPr="00FE6DBC">
        <w:rPr>
          <w:rFonts w:ascii="Arial" w:hAnsi="Arial" w:cs="Arial"/>
          <w:sz w:val="28"/>
          <w:szCs w:val="28"/>
        </w:rPr>
        <w:t>V. Cele i wskaźniki</w:t>
      </w:r>
    </w:p>
    <w:p w:rsidR="00FD5433" w:rsidRDefault="002F42E9" w:rsidP="00A6344A">
      <w:pPr>
        <w:jc w:val="both"/>
        <w:rPr>
          <w:b/>
          <w:sz w:val="22"/>
          <w:szCs w:val="22"/>
        </w:rPr>
      </w:pPr>
      <w:r>
        <w:rPr>
          <w:b/>
          <w:sz w:val="22"/>
          <w:szCs w:val="22"/>
        </w:rPr>
        <w:t>(…)</w:t>
      </w:r>
    </w:p>
    <w:p w:rsidR="002F42E9" w:rsidRDefault="002F42E9" w:rsidP="00A6344A">
      <w:pPr>
        <w:jc w:val="both"/>
        <w:rPr>
          <w:b/>
          <w:sz w:val="22"/>
          <w:szCs w:val="22"/>
        </w:rPr>
      </w:pPr>
    </w:p>
    <w:p w:rsidR="00A6344A" w:rsidRPr="00541FEC" w:rsidRDefault="00A6344A" w:rsidP="00A6344A">
      <w:pPr>
        <w:jc w:val="both"/>
        <w:rPr>
          <w:b/>
          <w:sz w:val="22"/>
          <w:szCs w:val="22"/>
        </w:rPr>
      </w:pPr>
      <w:r w:rsidRPr="00541FEC">
        <w:rPr>
          <w:b/>
          <w:sz w:val="22"/>
          <w:szCs w:val="22"/>
        </w:rPr>
        <w:t xml:space="preserve">Cel ogólny 1: Zachowanie lokalnych zasobów przyrodniczych i kulturowych oraz poprawa jakości życia.  </w:t>
      </w:r>
    </w:p>
    <w:p w:rsidR="00A6344A" w:rsidRDefault="00A6344A" w:rsidP="00A6344A">
      <w:pPr>
        <w:rPr>
          <w:color w:val="000000"/>
          <w:sz w:val="22"/>
          <w:szCs w:val="22"/>
        </w:rPr>
      </w:pPr>
      <w:r>
        <w:rPr>
          <w:sz w:val="22"/>
          <w:szCs w:val="22"/>
        </w:rPr>
        <w:t xml:space="preserve">Cel szczegółowy 1.1: </w:t>
      </w:r>
      <w:r w:rsidRPr="007A3FC2">
        <w:rPr>
          <w:sz w:val="22"/>
          <w:szCs w:val="22"/>
        </w:rPr>
        <w:t>Ochrona środowiska i przeciwdziałanie zmianom klimatu;</w:t>
      </w:r>
      <w:r w:rsidRPr="007A3FC2">
        <w:rPr>
          <w:color w:val="000000"/>
          <w:sz w:val="22"/>
          <w:szCs w:val="22"/>
        </w:rPr>
        <w:t xml:space="preserve"> zachowanie walorów przyrodni</w:t>
      </w:r>
      <w:r>
        <w:rPr>
          <w:color w:val="000000"/>
          <w:sz w:val="22"/>
          <w:szCs w:val="22"/>
        </w:rPr>
        <w:t>czo-krajobrazowych i kulturowo-</w:t>
      </w:r>
      <w:r w:rsidRPr="007A3FC2">
        <w:rPr>
          <w:color w:val="000000"/>
          <w:sz w:val="22"/>
          <w:szCs w:val="22"/>
        </w:rPr>
        <w:t xml:space="preserve">historycznych, </w:t>
      </w:r>
      <w:r>
        <w:rPr>
          <w:color w:val="000000"/>
          <w:sz w:val="22"/>
          <w:szCs w:val="22"/>
        </w:rPr>
        <w:t>w tym tradycji regionalnych</w:t>
      </w:r>
    </w:p>
    <w:tbl>
      <w:tblPr>
        <w:tblW w:w="5000" w:type="pct"/>
        <w:tblLook w:val="0000" w:firstRow="0" w:lastRow="0" w:firstColumn="0" w:lastColumn="0" w:noHBand="0" w:noVBand="0"/>
      </w:tblPr>
      <w:tblGrid>
        <w:gridCol w:w="678"/>
        <w:gridCol w:w="4999"/>
        <w:gridCol w:w="2129"/>
        <w:gridCol w:w="50"/>
        <w:gridCol w:w="1206"/>
      </w:tblGrid>
      <w:tr w:rsidR="00A6344A" w:rsidRPr="00FE142A" w:rsidTr="00A6344A">
        <w:tc>
          <w:tcPr>
            <w:tcW w:w="394" w:type="pct"/>
            <w:tcBorders>
              <w:top w:val="single" w:sz="4" w:space="0" w:color="auto"/>
              <w:left w:val="single" w:sz="4" w:space="0" w:color="auto"/>
              <w:bottom w:val="single" w:sz="4" w:space="0" w:color="auto"/>
              <w:right w:val="single" w:sz="4" w:space="0" w:color="auto"/>
            </w:tcBorders>
          </w:tcPr>
          <w:p w:rsidR="00A6344A" w:rsidRPr="00FE142A" w:rsidRDefault="00A6344A" w:rsidP="009A087F">
            <w:pPr>
              <w:jc w:val="center"/>
              <w:rPr>
                <w:b/>
                <w:sz w:val="22"/>
                <w:szCs w:val="22"/>
              </w:rPr>
            </w:pPr>
            <w:r>
              <w:rPr>
                <w:b/>
                <w:sz w:val="22"/>
                <w:szCs w:val="22"/>
              </w:rPr>
              <w:t>Lp</w:t>
            </w:r>
          </w:p>
        </w:tc>
        <w:tc>
          <w:tcPr>
            <w:tcW w:w="2773" w:type="pct"/>
            <w:tcBorders>
              <w:top w:val="single" w:sz="4" w:space="0" w:color="auto"/>
              <w:left w:val="single" w:sz="4" w:space="0" w:color="auto"/>
              <w:bottom w:val="single" w:sz="4" w:space="0" w:color="auto"/>
              <w:right w:val="single" w:sz="4" w:space="0" w:color="auto"/>
            </w:tcBorders>
          </w:tcPr>
          <w:p w:rsidR="00A6344A" w:rsidRPr="00FE142A" w:rsidRDefault="00A6344A" w:rsidP="009A087F">
            <w:pPr>
              <w:jc w:val="center"/>
              <w:rPr>
                <w:b/>
                <w:sz w:val="22"/>
                <w:szCs w:val="22"/>
              </w:rPr>
            </w:pPr>
            <w:r w:rsidRPr="00FE142A">
              <w:rPr>
                <w:b/>
                <w:sz w:val="22"/>
                <w:szCs w:val="22"/>
              </w:rPr>
              <w:t>Przedsięwzięcie</w:t>
            </w:r>
          </w:p>
        </w:tc>
        <w:tc>
          <w:tcPr>
            <w:tcW w:w="1231" w:type="pct"/>
            <w:gridSpan w:val="2"/>
            <w:tcBorders>
              <w:top w:val="single" w:sz="4" w:space="0" w:color="auto"/>
              <w:left w:val="single" w:sz="4" w:space="0" w:color="auto"/>
              <w:bottom w:val="single" w:sz="4" w:space="0" w:color="auto"/>
              <w:right w:val="single" w:sz="4" w:space="0" w:color="auto"/>
            </w:tcBorders>
          </w:tcPr>
          <w:p w:rsidR="00A6344A" w:rsidRPr="00FE142A" w:rsidRDefault="00A6344A" w:rsidP="009A087F">
            <w:pPr>
              <w:jc w:val="center"/>
              <w:rPr>
                <w:b/>
                <w:sz w:val="22"/>
                <w:szCs w:val="22"/>
              </w:rPr>
            </w:pPr>
            <w:r w:rsidRPr="00FE142A">
              <w:rPr>
                <w:b/>
                <w:sz w:val="22"/>
                <w:szCs w:val="22"/>
              </w:rPr>
              <w:t>typ projektu</w:t>
            </w:r>
          </w:p>
        </w:tc>
        <w:tc>
          <w:tcPr>
            <w:tcW w:w="603" w:type="pct"/>
            <w:tcBorders>
              <w:top w:val="single" w:sz="4" w:space="0" w:color="auto"/>
              <w:left w:val="single" w:sz="4" w:space="0" w:color="auto"/>
              <w:bottom w:val="single" w:sz="4" w:space="0" w:color="auto"/>
              <w:right w:val="single" w:sz="4" w:space="0" w:color="auto"/>
            </w:tcBorders>
          </w:tcPr>
          <w:p w:rsidR="00A6344A" w:rsidRPr="00FE142A" w:rsidRDefault="00A6344A" w:rsidP="009A087F">
            <w:pPr>
              <w:jc w:val="center"/>
              <w:rPr>
                <w:b/>
                <w:sz w:val="22"/>
                <w:szCs w:val="22"/>
              </w:rPr>
            </w:pPr>
            <w:r>
              <w:rPr>
                <w:b/>
                <w:sz w:val="22"/>
                <w:szCs w:val="22"/>
              </w:rPr>
              <w:t>Środki [</w:t>
            </w:r>
            <w:r w:rsidR="002F42E9" w:rsidRPr="002F42E9">
              <w:rPr>
                <w:b/>
                <w:strike/>
                <w:color w:val="FF0000"/>
                <w:sz w:val="22"/>
                <w:szCs w:val="22"/>
              </w:rPr>
              <w:t>zł</w:t>
            </w:r>
            <w:r w:rsidR="002F42E9">
              <w:rPr>
                <w:b/>
                <w:sz w:val="22"/>
                <w:szCs w:val="22"/>
              </w:rPr>
              <w:t xml:space="preserve"> </w:t>
            </w:r>
            <w:r w:rsidRPr="002F42E9">
              <w:rPr>
                <w:rFonts w:cs="Times New Roman"/>
                <w:b/>
                <w:color w:val="00B050"/>
                <w:sz w:val="22"/>
                <w:szCs w:val="22"/>
              </w:rPr>
              <w:t>€</w:t>
            </w:r>
            <w:r>
              <w:rPr>
                <w:b/>
                <w:sz w:val="22"/>
                <w:szCs w:val="22"/>
              </w:rPr>
              <w:t>]</w:t>
            </w:r>
          </w:p>
        </w:tc>
      </w:tr>
      <w:tr w:rsidR="00A6344A" w:rsidRPr="00FE142A" w:rsidTr="00A6344A">
        <w:tc>
          <w:tcPr>
            <w:tcW w:w="394" w:type="pct"/>
            <w:tcBorders>
              <w:top w:val="single" w:sz="4" w:space="0" w:color="auto"/>
              <w:left w:val="single" w:sz="4" w:space="0" w:color="auto"/>
              <w:bottom w:val="single" w:sz="4" w:space="0" w:color="auto"/>
              <w:right w:val="single" w:sz="4" w:space="0" w:color="auto"/>
            </w:tcBorders>
          </w:tcPr>
          <w:p w:rsidR="00A6344A" w:rsidRPr="00FE142A" w:rsidRDefault="00A6344A" w:rsidP="009A087F">
            <w:pPr>
              <w:jc w:val="center"/>
              <w:rPr>
                <w:sz w:val="22"/>
                <w:szCs w:val="22"/>
              </w:rPr>
            </w:pPr>
            <w:r w:rsidRPr="00FE142A">
              <w:rPr>
                <w:sz w:val="22"/>
                <w:szCs w:val="22"/>
              </w:rPr>
              <w:t>1.1</w:t>
            </w:r>
            <w:r>
              <w:rPr>
                <w:sz w:val="22"/>
                <w:szCs w:val="22"/>
              </w:rPr>
              <w:t>.1</w:t>
            </w:r>
          </w:p>
        </w:tc>
        <w:tc>
          <w:tcPr>
            <w:tcW w:w="2773" w:type="pct"/>
            <w:tcBorders>
              <w:top w:val="single" w:sz="4" w:space="0" w:color="auto"/>
              <w:left w:val="single" w:sz="4" w:space="0" w:color="auto"/>
              <w:bottom w:val="single" w:sz="4" w:space="0" w:color="auto"/>
              <w:right w:val="single" w:sz="4" w:space="0" w:color="auto"/>
            </w:tcBorders>
          </w:tcPr>
          <w:p w:rsidR="00A6344A" w:rsidRPr="001E6970" w:rsidRDefault="00A6344A" w:rsidP="009A087F">
            <w:pPr>
              <w:rPr>
                <w:color w:val="000000"/>
                <w:sz w:val="22"/>
                <w:szCs w:val="22"/>
              </w:rPr>
            </w:pPr>
            <w:r w:rsidRPr="001E6970">
              <w:rPr>
                <w:color w:val="000000"/>
                <w:sz w:val="22"/>
                <w:szCs w:val="22"/>
              </w:rPr>
              <w:t>Poprawa stanu obiektów związanych z kulturą obszaru</w:t>
            </w:r>
          </w:p>
        </w:tc>
        <w:tc>
          <w:tcPr>
            <w:tcW w:w="1231" w:type="pct"/>
            <w:gridSpan w:val="2"/>
            <w:tcBorders>
              <w:top w:val="single" w:sz="4" w:space="0" w:color="auto"/>
              <w:left w:val="single" w:sz="4" w:space="0" w:color="auto"/>
              <w:bottom w:val="single" w:sz="4" w:space="0" w:color="auto"/>
              <w:right w:val="single" w:sz="4" w:space="0" w:color="auto"/>
            </w:tcBorders>
          </w:tcPr>
          <w:p w:rsidR="00A6344A" w:rsidRPr="00FE142A" w:rsidRDefault="00A6344A" w:rsidP="009A087F">
            <w:pPr>
              <w:rPr>
                <w:sz w:val="22"/>
                <w:szCs w:val="22"/>
              </w:rPr>
            </w:pPr>
            <w:r>
              <w:rPr>
                <w:sz w:val="22"/>
                <w:szCs w:val="22"/>
              </w:rPr>
              <w:t>Konkurs (tylko dla organizacji pozarządowych)</w:t>
            </w:r>
          </w:p>
        </w:tc>
        <w:tc>
          <w:tcPr>
            <w:tcW w:w="603" w:type="pct"/>
            <w:tcBorders>
              <w:top w:val="single" w:sz="4" w:space="0" w:color="auto"/>
              <w:left w:val="single" w:sz="4" w:space="0" w:color="auto"/>
              <w:bottom w:val="single" w:sz="4" w:space="0" w:color="auto"/>
              <w:right w:val="single" w:sz="4" w:space="0" w:color="auto"/>
            </w:tcBorders>
          </w:tcPr>
          <w:p w:rsidR="00A6344A" w:rsidRPr="00A929C8" w:rsidRDefault="00A6344A" w:rsidP="009A087F">
            <w:pPr>
              <w:jc w:val="right"/>
              <w:rPr>
                <w:strike/>
                <w:color w:val="FF0000"/>
                <w:sz w:val="22"/>
                <w:szCs w:val="22"/>
              </w:rPr>
            </w:pPr>
            <w:r w:rsidRPr="002F42E9">
              <w:rPr>
                <w:strike/>
                <w:color w:val="FF0000"/>
                <w:sz w:val="22"/>
                <w:szCs w:val="22"/>
              </w:rPr>
              <w:t>238 796,00</w:t>
            </w:r>
            <w:r w:rsidR="002F42E9" w:rsidRPr="002F42E9">
              <w:rPr>
                <w:strike/>
                <w:color w:val="FF0000"/>
                <w:sz w:val="22"/>
                <w:szCs w:val="22"/>
              </w:rPr>
              <w:t xml:space="preserve"> zł</w:t>
            </w:r>
            <w:r>
              <w:rPr>
                <w:strike/>
                <w:sz w:val="22"/>
                <w:szCs w:val="22"/>
              </w:rPr>
              <w:br/>
            </w:r>
            <w:r w:rsidRPr="00A929C8">
              <w:rPr>
                <w:color w:val="00B050"/>
                <w:sz w:val="22"/>
                <w:szCs w:val="22"/>
              </w:rPr>
              <w:t>55 253,53</w:t>
            </w:r>
            <w:r w:rsidR="002F42E9">
              <w:rPr>
                <w:color w:val="00B050"/>
                <w:sz w:val="22"/>
                <w:szCs w:val="22"/>
              </w:rPr>
              <w:t xml:space="preserve"> </w:t>
            </w:r>
            <w:r w:rsidR="002F42E9">
              <w:rPr>
                <w:rFonts w:cs="Times New Roman"/>
                <w:color w:val="00B050"/>
                <w:sz w:val="22"/>
                <w:szCs w:val="22"/>
              </w:rPr>
              <w:t>€</w:t>
            </w:r>
          </w:p>
        </w:tc>
      </w:tr>
      <w:tr w:rsidR="00A6344A" w:rsidRPr="00FE142A" w:rsidTr="00A6344A">
        <w:tc>
          <w:tcPr>
            <w:tcW w:w="5000" w:type="pct"/>
            <w:gridSpan w:val="5"/>
            <w:tcBorders>
              <w:top w:val="single" w:sz="4" w:space="0" w:color="auto"/>
              <w:left w:val="single" w:sz="4" w:space="0" w:color="auto"/>
              <w:bottom w:val="single" w:sz="4" w:space="0" w:color="auto"/>
              <w:right w:val="single" w:sz="4" w:space="0" w:color="auto"/>
            </w:tcBorders>
          </w:tcPr>
          <w:p w:rsidR="00A6344A" w:rsidRPr="00990B0B" w:rsidRDefault="00A6344A" w:rsidP="009A087F">
            <w:pPr>
              <w:jc w:val="both"/>
              <w:rPr>
                <w:sz w:val="22"/>
                <w:szCs w:val="22"/>
              </w:rPr>
            </w:pPr>
            <w:r w:rsidRPr="00990B0B">
              <w:rPr>
                <w:sz w:val="22"/>
                <w:szCs w:val="22"/>
              </w:rPr>
              <w:t>Projekty m.in. z zakresu modernizacji obiektów kultury, w tym zabytków.</w:t>
            </w:r>
          </w:p>
        </w:tc>
      </w:tr>
      <w:tr w:rsidR="00A6344A" w:rsidRPr="0005232C" w:rsidTr="00A6344A">
        <w:trPr>
          <w:trHeight w:val="1036"/>
        </w:trPr>
        <w:tc>
          <w:tcPr>
            <w:tcW w:w="394" w:type="pct"/>
            <w:tcBorders>
              <w:left w:val="single" w:sz="4" w:space="0" w:color="auto"/>
              <w:bottom w:val="single" w:sz="4" w:space="0" w:color="auto"/>
              <w:right w:val="single" w:sz="4" w:space="0" w:color="auto"/>
            </w:tcBorders>
          </w:tcPr>
          <w:p w:rsidR="00A6344A" w:rsidRPr="0005232C" w:rsidRDefault="00A6344A" w:rsidP="009A087F">
            <w:pPr>
              <w:jc w:val="center"/>
              <w:rPr>
                <w:sz w:val="22"/>
                <w:szCs w:val="22"/>
              </w:rPr>
            </w:pPr>
            <w:r w:rsidRPr="0005232C">
              <w:rPr>
                <w:sz w:val="22"/>
                <w:szCs w:val="22"/>
              </w:rPr>
              <w:t>1.1.2</w:t>
            </w:r>
          </w:p>
        </w:tc>
        <w:tc>
          <w:tcPr>
            <w:tcW w:w="2773" w:type="pct"/>
            <w:tcBorders>
              <w:left w:val="single" w:sz="4" w:space="0" w:color="auto"/>
              <w:bottom w:val="single" w:sz="4" w:space="0" w:color="auto"/>
              <w:right w:val="single" w:sz="4" w:space="0" w:color="auto"/>
            </w:tcBorders>
            <w:vAlign w:val="center"/>
          </w:tcPr>
          <w:p w:rsidR="00A6344A" w:rsidRPr="0005232C" w:rsidRDefault="00A6344A" w:rsidP="009A087F">
            <w:pPr>
              <w:rPr>
                <w:sz w:val="22"/>
                <w:szCs w:val="22"/>
              </w:rPr>
            </w:pPr>
            <w:r w:rsidRPr="0005232C">
              <w:rPr>
                <w:sz w:val="22"/>
                <w:szCs w:val="22"/>
              </w:rPr>
              <w:t>Inne działania na rzecz zachowania walorów przyrodniczo-krajobrazowych  kulturowo- historycznych, w tym tradycji regionalnych</w:t>
            </w:r>
          </w:p>
        </w:tc>
        <w:tc>
          <w:tcPr>
            <w:tcW w:w="1231" w:type="pct"/>
            <w:gridSpan w:val="2"/>
            <w:tcBorders>
              <w:left w:val="single" w:sz="4" w:space="0" w:color="auto"/>
              <w:bottom w:val="single" w:sz="4" w:space="0" w:color="auto"/>
              <w:right w:val="single" w:sz="4" w:space="0" w:color="auto"/>
            </w:tcBorders>
          </w:tcPr>
          <w:p w:rsidR="00A6344A" w:rsidRPr="0005232C" w:rsidRDefault="00A6344A" w:rsidP="009A087F">
            <w:pPr>
              <w:rPr>
                <w:sz w:val="22"/>
                <w:szCs w:val="22"/>
              </w:rPr>
            </w:pPr>
            <w:r w:rsidRPr="0005232C">
              <w:rPr>
                <w:sz w:val="22"/>
                <w:szCs w:val="22"/>
              </w:rPr>
              <w:t>Konkurs (tylko dla org</w:t>
            </w:r>
            <w:r>
              <w:rPr>
                <w:sz w:val="22"/>
                <w:szCs w:val="22"/>
              </w:rPr>
              <w:t>anizacji</w:t>
            </w:r>
            <w:r w:rsidRPr="0005232C">
              <w:rPr>
                <w:sz w:val="22"/>
                <w:szCs w:val="22"/>
              </w:rPr>
              <w:t xml:space="preserve"> pozarz</w:t>
            </w:r>
            <w:r>
              <w:rPr>
                <w:sz w:val="22"/>
                <w:szCs w:val="22"/>
              </w:rPr>
              <w:t>ądowych</w:t>
            </w:r>
            <w:r w:rsidRPr="0005232C">
              <w:rPr>
                <w:sz w:val="22"/>
                <w:szCs w:val="22"/>
              </w:rPr>
              <w:t xml:space="preserve"> z wyłączeniem związków wyznaniowych)</w:t>
            </w:r>
          </w:p>
        </w:tc>
        <w:tc>
          <w:tcPr>
            <w:tcW w:w="603" w:type="pct"/>
            <w:tcBorders>
              <w:left w:val="single" w:sz="4" w:space="0" w:color="auto"/>
              <w:bottom w:val="single" w:sz="4" w:space="0" w:color="auto"/>
              <w:right w:val="single" w:sz="4" w:space="0" w:color="auto"/>
            </w:tcBorders>
          </w:tcPr>
          <w:p w:rsidR="00A6344A" w:rsidRPr="0005232C" w:rsidRDefault="00A6344A" w:rsidP="009A087F">
            <w:pPr>
              <w:jc w:val="right"/>
              <w:rPr>
                <w:color w:val="00B050"/>
                <w:sz w:val="22"/>
                <w:szCs w:val="22"/>
              </w:rPr>
            </w:pPr>
            <w:r w:rsidRPr="002F42E9">
              <w:rPr>
                <w:strike/>
                <w:color w:val="FF0000"/>
                <w:sz w:val="22"/>
                <w:szCs w:val="22"/>
              </w:rPr>
              <w:t>330 000,00</w:t>
            </w:r>
            <w:r w:rsidR="002F42E9" w:rsidRPr="002F42E9">
              <w:rPr>
                <w:strike/>
                <w:color w:val="FF0000"/>
                <w:sz w:val="22"/>
                <w:szCs w:val="22"/>
              </w:rPr>
              <w:t xml:space="preserve"> zł</w:t>
            </w:r>
            <w:r w:rsidRPr="0005232C">
              <w:rPr>
                <w:color w:val="00B050"/>
                <w:sz w:val="22"/>
                <w:szCs w:val="22"/>
              </w:rPr>
              <w:br/>
            </w:r>
            <w:r>
              <w:rPr>
                <w:color w:val="00B050"/>
                <w:sz w:val="22"/>
                <w:szCs w:val="22"/>
              </w:rPr>
              <w:t>107 515,05</w:t>
            </w:r>
            <w:r w:rsidRPr="0005232C">
              <w:rPr>
                <w:color w:val="00B050"/>
                <w:sz w:val="22"/>
                <w:szCs w:val="22"/>
              </w:rPr>
              <w:t xml:space="preserve"> </w:t>
            </w:r>
            <w:r w:rsidRPr="0005232C">
              <w:rPr>
                <w:rFonts w:cs="Times New Roman"/>
                <w:color w:val="00B050"/>
                <w:sz w:val="22"/>
                <w:szCs w:val="22"/>
              </w:rPr>
              <w:t>€</w:t>
            </w:r>
          </w:p>
        </w:tc>
      </w:tr>
      <w:tr w:rsidR="00A6344A" w:rsidRPr="0005232C" w:rsidTr="00A6344A">
        <w:tc>
          <w:tcPr>
            <w:tcW w:w="389" w:type="pct"/>
            <w:tcBorders>
              <w:top w:val="single" w:sz="4" w:space="0" w:color="auto"/>
              <w:left w:val="single" w:sz="4" w:space="0" w:color="auto"/>
              <w:bottom w:val="single" w:sz="4" w:space="0" w:color="auto"/>
              <w:right w:val="single" w:sz="4" w:space="0" w:color="auto"/>
            </w:tcBorders>
          </w:tcPr>
          <w:p w:rsidR="00A6344A" w:rsidRPr="00B65B71" w:rsidRDefault="00A6344A" w:rsidP="009A087F">
            <w:pPr>
              <w:jc w:val="both"/>
              <w:rPr>
                <w:color w:val="00B050"/>
                <w:sz w:val="22"/>
                <w:szCs w:val="22"/>
              </w:rPr>
            </w:pPr>
            <w:r>
              <w:rPr>
                <w:color w:val="00B050"/>
                <w:sz w:val="22"/>
                <w:szCs w:val="22"/>
              </w:rPr>
              <w:t>1.1.3</w:t>
            </w:r>
          </w:p>
        </w:tc>
        <w:tc>
          <w:tcPr>
            <w:tcW w:w="2778" w:type="pct"/>
            <w:tcBorders>
              <w:top w:val="single" w:sz="4" w:space="0" w:color="auto"/>
              <w:left w:val="single" w:sz="4" w:space="0" w:color="auto"/>
              <w:bottom w:val="single" w:sz="4" w:space="0" w:color="auto"/>
              <w:right w:val="single" w:sz="4" w:space="0" w:color="auto"/>
            </w:tcBorders>
          </w:tcPr>
          <w:p w:rsidR="00A6344A" w:rsidRPr="00B65B71" w:rsidRDefault="00A6344A" w:rsidP="009A087F">
            <w:pPr>
              <w:jc w:val="both"/>
              <w:rPr>
                <w:color w:val="00B050"/>
                <w:sz w:val="22"/>
                <w:szCs w:val="22"/>
              </w:rPr>
            </w:pPr>
            <w:r>
              <w:rPr>
                <w:color w:val="00B050"/>
                <w:sz w:val="22"/>
                <w:szCs w:val="22"/>
              </w:rPr>
              <w:t>Utworzenie Izby Książki Kucharskiej i Kulinarnej wraz z Centrum Marki Lokalnej</w:t>
            </w:r>
          </w:p>
        </w:tc>
        <w:tc>
          <w:tcPr>
            <w:tcW w:w="1194" w:type="pct"/>
            <w:tcBorders>
              <w:top w:val="single" w:sz="4" w:space="0" w:color="auto"/>
              <w:left w:val="single" w:sz="4" w:space="0" w:color="auto"/>
              <w:bottom w:val="single" w:sz="4" w:space="0" w:color="auto"/>
              <w:right w:val="single" w:sz="4" w:space="0" w:color="auto"/>
            </w:tcBorders>
          </w:tcPr>
          <w:p w:rsidR="00A6344A" w:rsidRPr="00B65B71" w:rsidRDefault="00A6344A" w:rsidP="009A087F">
            <w:pPr>
              <w:jc w:val="both"/>
              <w:rPr>
                <w:color w:val="00B050"/>
                <w:sz w:val="22"/>
                <w:szCs w:val="22"/>
              </w:rPr>
            </w:pPr>
            <w:r>
              <w:rPr>
                <w:color w:val="00B050"/>
                <w:sz w:val="22"/>
                <w:szCs w:val="22"/>
              </w:rPr>
              <w:t>Projekt własny</w:t>
            </w:r>
          </w:p>
        </w:tc>
        <w:tc>
          <w:tcPr>
            <w:tcW w:w="639" w:type="pct"/>
            <w:gridSpan w:val="2"/>
            <w:tcBorders>
              <w:top w:val="single" w:sz="4" w:space="0" w:color="auto"/>
              <w:left w:val="single" w:sz="4" w:space="0" w:color="auto"/>
              <w:bottom w:val="single" w:sz="4" w:space="0" w:color="auto"/>
              <w:right w:val="single" w:sz="4" w:space="0" w:color="auto"/>
            </w:tcBorders>
          </w:tcPr>
          <w:p w:rsidR="00A6344A" w:rsidRPr="00B65B71" w:rsidRDefault="00A6344A" w:rsidP="009A087F">
            <w:pPr>
              <w:jc w:val="both"/>
              <w:rPr>
                <w:color w:val="00B050"/>
                <w:sz w:val="22"/>
                <w:szCs w:val="22"/>
              </w:rPr>
            </w:pPr>
            <w:r>
              <w:rPr>
                <w:color w:val="00B050"/>
                <w:sz w:val="22"/>
                <w:szCs w:val="22"/>
              </w:rPr>
              <w:t xml:space="preserve">61 618,00 </w:t>
            </w:r>
            <w:r>
              <w:rPr>
                <w:rFonts w:cs="Times New Roman"/>
                <w:color w:val="00B050"/>
                <w:sz w:val="22"/>
                <w:szCs w:val="22"/>
              </w:rPr>
              <w:t>€</w:t>
            </w:r>
          </w:p>
        </w:tc>
      </w:tr>
      <w:tr w:rsidR="00A6344A" w:rsidRPr="0005232C" w:rsidTr="00A6344A">
        <w:tc>
          <w:tcPr>
            <w:tcW w:w="5000" w:type="pct"/>
            <w:gridSpan w:val="5"/>
            <w:tcBorders>
              <w:top w:val="single" w:sz="4" w:space="0" w:color="auto"/>
              <w:left w:val="single" w:sz="4" w:space="0" w:color="auto"/>
              <w:bottom w:val="single" w:sz="4" w:space="0" w:color="auto"/>
              <w:right w:val="single" w:sz="4" w:space="0" w:color="auto"/>
            </w:tcBorders>
          </w:tcPr>
          <w:p w:rsidR="00A6344A" w:rsidRDefault="00A6344A" w:rsidP="009A087F">
            <w:pPr>
              <w:jc w:val="both"/>
              <w:rPr>
                <w:color w:val="00B050"/>
                <w:sz w:val="22"/>
                <w:szCs w:val="22"/>
              </w:rPr>
            </w:pPr>
            <w:r>
              <w:rPr>
                <w:color w:val="00B050"/>
                <w:sz w:val="22"/>
                <w:szCs w:val="22"/>
              </w:rPr>
              <w:t>Izba Książki Kucharskiej i Kulinarnej im. Stanisława Czernieckiego wraz z Centrum Marki Lokalnej ma być prowadzone przez organizację pozarządową. Obiekt ma być zlokalizowany na obszarze LGD w obiekcie będącym w gestii samorządowej. Niezbędnym warunkiem realizacji projektu mają być posiadane zasoby w postacie minimum 200 szt. woluminów książek kucharskich i publikacji o charakterze kulinarnym, szczególnie w obszarze kulinariów regionalnych i lokalnych, zarówno wydawnictw aktualnych jak i historycznych. Niezbędnym elementem projektu ma być wyposażenie służące prowadzeniu warsztatów o tematyce kulinarnej (zaplecze gastronomiczne), jak również sala konferencyjna dla min. 25 osób służąca prowadzeniu zajęć edukacyjnych nt. kulinariów i lokalnych zasobów obszaru LGD objętych lokalną marką „KOGUTEK”.</w:t>
            </w:r>
          </w:p>
        </w:tc>
      </w:tr>
    </w:tbl>
    <w:p w:rsidR="00A6344A" w:rsidRDefault="00A6344A" w:rsidP="00A6344A">
      <w:pPr>
        <w:rPr>
          <w:color w:val="000000"/>
          <w:sz w:val="22"/>
          <w:szCs w:val="22"/>
        </w:rPr>
      </w:pPr>
    </w:p>
    <w:p w:rsidR="00F968AA" w:rsidRPr="00F968AA" w:rsidRDefault="00F968AA" w:rsidP="00F968AA">
      <w:pPr>
        <w:rPr>
          <w:color w:val="000000"/>
          <w:sz w:val="22"/>
          <w:szCs w:val="22"/>
        </w:rPr>
      </w:pPr>
      <w:r w:rsidRPr="00F968AA">
        <w:rPr>
          <w:color w:val="000000"/>
          <w:sz w:val="22"/>
          <w:szCs w:val="22"/>
        </w:rPr>
        <w:t>Cel szczegółowy 1.2: Poprawa oferty oświatowej, szczególnie w zakresie uczenia się przez całe życie oraz rekreacyjno-kulturalnej.</w:t>
      </w:r>
    </w:p>
    <w:tbl>
      <w:tblPr>
        <w:tblW w:w="5000" w:type="pct"/>
        <w:tblLook w:val="0000" w:firstRow="0" w:lastRow="0" w:firstColumn="0" w:lastColumn="0" w:noHBand="0" w:noVBand="0"/>
      </w:tblPr>
      <w:tblGrid>
        <w:gridCol w:w="657"/>
        <w:gridCol w:w="4979"/>
        <w:gridCol w:w="2055"/>
        <w:gridCol w:w="59"/>
        <w:gridCol w:w="1312"/>
      </w:tblGrid>
      <w:tr w:rsidR="00F968AA" w:rsidRPr="00F968AA" w:rsidTr="00F968AA">
        <w:tc>
          <w:tcPr>
            <w:tcW w:w="394"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center"/>
              <w:rPr>
                <w:b/>
                <w:sz w:val="22"/>
                <w:szCs w:val="22"/>
              </w:rPr>
            </w:pPr>
            <w:r w:rsidRPr="00F968AA">
              <w:rPr>
                <w:b/>
                <w:sz w:val="22"/>
                <w:szCs w:val="22"/>
              </w:rPr>
              <w:t>Lp</w:t>
            </w:r>
          </w:p>
        </w:tc>
        <w:tc>
          <w:tcPr>
            <w:tcW w:w="2773"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center"/>
              <w:rPr>
                <w:b/>
                <w:sz w:val="22"/>
                <w:szCs w:val="22"/>
              </w:rPr>
            </w:pPr>
            <w:r w:rsidRPr="00F968AA">
              <w:rPr>
                <w:b/>
                <w:sz w:val="22"/>
                <w:szCs w:val="22"/>
              </w:rPr>
              <w:t>Przedsięwzięcie</w:t>
            </w:r>
          </w:p>
        </w:tc>
        <w:tc>
          <w:tcPr>
            <w:tcW w:w="1165"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center"/>
              <w:rPr>
                <w:b/>
                <w:sz w:val="22"/>
                <w:szCs w:val="22"/>
              </w:rPr>
            </w:pPr>
            <w:r w:rsidRPr="00F968AA">
              <w:rPr>
                <w:b/>
                <w:sz w:val="22"/>
                <w:szCs w:val="22"/>
              </w:rPr>
              <w:t>typ projektu</w:t>
            </w:r>
          </w:p>
        </w:tc>
        <w:tc>
          <w:tcPr>
            <w:tcW w:w="669" w:type="pct"/>
            <w:gridSpan w:val="2"/>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center"/>
              <w:rPr>
                <w:b/>
                <w:sz w:val="22"/>
                <w:szCs w:val="22"/>
              </w:rPr>
            </w:pPr>
            <w:r w:rsidRPr="00F968AA">
              <w:rPr>
                <w:b/>
                <w:sz w:val="22"/>
                <w:szCs w:val="22"/>
              </w:rPr>
              <w:t>Środki [</w:t>
            </w:r>
            <w:r w:rsidR="002F42E9" w:rsidRPr="002F42E9">
              <w:rPr>
                <w:b/>
                <w:strike/>
                <w:color w:val="FF0000"/>
                <w:sz w:val="22"/>
                <w:szCs w:val="22"/>
              </w:rPr>
              <w:t>zł</w:t>
            </w:r>
            <w:r w:rsidR="002F42E9">
              <w:rPr>
                <w:rFonts w:cs="Times New Roman"/>
                <w:b/>
                <w:sz w:val="22"/>
                <w:szCs w:val="22"/>
              </w:rPr>
              <w:t xml:space="preserve"> </w:t>
            </w:r>
            <w:r w:rsidRPr="00F968AA">
              <w:rPr>
                <w:rFonts w:cs="Times New Roman"/>
                <w:b/>
                <w:color w:val="00B050"/>
                <w:sz w:val="22"/>
                <w:szCs w:val="22"/>
              </w:rPr>
              <w:t>€</w:t>
            </w:r>
            <w:r w:rsidRPr="00F968AA">
              <w:rPr>
                <w:b/>
                <w:sz w:val="22"/>
                <w:szCs w:val="22"/>
              </w:rPr>
              <w:t>]</w:t>
            </w:r>
          </w:p>
        </w:tc>
      </w:tr>
      <w:tr w:rsidR="00F968AA" w:rsidRPr="00F968AA" w:rsidTr="00F968AA">
        <w:tc>
          <w:tcPr>
            <w:tcW w:w="394"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center"/>
              <w:rPr>
                <w:sz w:val="22"/>
                <w:szCs w:val="22"/>
              </w:rPr>
            </w:pPr>
            <w:r w:rsidRPr="00F968AA">
              <w:rPr>
                <w:sz w:val="22"/>
                <w:szCs w:val="22"/>
              </w:rPr>
              <w:t>1.2.1</w:t>
            </w:r>
          </w:p>
        </w:tc>
        <w:tc>
          <w:tcPr>
            <w:tcW w:w="2773"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rPr>
                <w:sz w:val="22"/>
                <w:szCs w:val="22"/>
              </w:rPr>
            </w:pPr>
            <w:r w:rsidRPr="00F968AA">
              <w:rPr>
                <w:sz w:val="22"/>
                <w:szCs w:val="22"/>
              </w:rPr>
              <w:t>Rozwój infrastruktury rekreacyjno-kulturalnej</w:t>
            </w:r>
          </w:p>
        </w:tc>
        <w:tc>
          <w:tcPr>
            <w:tcW w:w="1165"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rPr>
                <w:sz w:val="22"/>
                <w:szCs w:val="22"/>
              </w:rPr>
            </w:pPr>
            <w:r w:rsidRPr="00F968AA">
              <w:rPr>
                <w:sz w:val="22"/>
                <w:szCs w:val="22"/>
              </w:rPr>
              <w:t xml:space="preserve">Konkurs (tylko dla JST i jednostek podległych </w:t>
            </w:r>
            <w:r w:rsidRPr="00F968AA">
              <w:rPr>
                <w:color w:val="00B050"/>
                <w:sz w:val="22"/>
                <w:szCs w:val="22"/>
              </w:rPr>
              <w:t>oraz organizacji. pozarządowych z wyłączeniem związków wyznaniowych )</w:t>
            </w:r>
            <w:r w:rsidRPr="00F968AA">
              <w:rPr>
                <w:strike/>
                <w:sz w:val="22"/>
                <w:szCs w:val="22"/>
              </w:rPr>
              <w:t xml:space="preserve"> </w:t>
            </w:r>
          </w:p>
        </w:tc>
        <w:tc>
          <w:tcPr>
            <w:tcW w:w="669" w:type="pct"/>
            <w:gridSpan w:val="2"/>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right"/>
              <w:rPr>
                <w:sz w:val="22"/>
                <w:szCs w:val="22"/>
              </w:rPr>
            </w:pPr>
          </w:p>
          <w:p w:rsidR="00F968AA" w:rsidRPr="00F968AA" w:rsidRDefault="00F968AA" w:rsidP="00F968AA">
            <w:pPr>
              <w:jc w:val="right"/>
              <w:rPr>
                <w:strike/>
                <w:sz w:val="22"/>
                <w:szCs w:val="22"/>
              </w:rPr>
            </w:pPr>
            <w:r w:rsidRPr="00F968AA">
              <w:rPr>
                <w:strike/>
                <w:color w:val="FF0000"/>
                <w:sz w:val="22"/>
                <w:szCs w:val="22"/>
              </w:rPr>
              <w:t>1 625 114,07</w:t>
            </w:r>
            <w:r w:rsidR="002F42E9" w:rsidRPr="002F42E9">
              <w:rPr>
                <w:strike/>
                <w:color w:val="FF0000"/>
                <w:sz w:val="22"/>
                <w:szCs w:val="22"/>
              </w:rPr>
              <w:t xml:space="preserve"> zł</w:t>
            </w:r>
            <w:r w:rsidRPr="00F968AA">
              <w:rPr>
                <w:strike/>
                <w:sz w:val="22"/>
                <w:szCs w:val="22"/>
              </w:rPr>
              <w:br/>
            </w:r>
            <w:r w:rsidRPr="00F968AA">
              <w:rPr>
                <w:color w:val="00B050"/>
                <w:sz w:val="22"/>
                <w:szCs w:val="22"/>
              </w:rPr>
              <w:br/>
              <w:t xml:space="preserve">418 907,86 </w:t>
            </w:r>
            <w:r w:rsidR="002F42E9">
              <w:rPr>
                <w:rFonts w:cs="Times New Roman"/>
                <w:color w:val="00B050"/>
                <w:sz w:val="22"/>
                <w:szCs w:val="22"/>
              </w:rPr>
              <w:t>€</w:t>
            </w:r>
          </w:p>
        </w:tc>
      </w:tr>
      <w:tr w:rsidR="00F968AA" w:rsidRPr="00F968AA" w:rsidTr="00F968AA">
        <w:tc>
          <w:tcPr>
            <w:tcW w:w="5000" w:type="pct"/>
            <w:gridSpan w:val="5"/>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both"/>
              <w:rPr>
                <w:sz w:val="22"/>
                <w:szCs w:val="22"/>
              </w:rPr>
            </w:pPr>
            <w:r w:rsidRPr="00F968AA">
              <w:rPr>
                <w:sz w:val="22"/>
                <w:szCs w:val="22"/>
              </w:rPr>
              <w:lastRenderedPageBreak/>
              <w:t>Projekt konkursowy w zakresie rozbudowy i wyposażenie infrastruktury rekreacyjno-kulturalnej (edukacyjnej).</w:t>
            </w:r>
          </w:p>
        </w:tc>
      </w:tr>
      <w:tr w:rsidR="00F968AA" w:rsidRPr="00F968AA" w:rsidTr="00F968AA">
        <w:tc>
          <w:tcPr>
            <w:tcW w:w="389"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both"/>
              <w:rPr>
                <w:color w:val="00B050"/>
                <w:sz w:val="22"/>
                <w:szCs w:val="22"/>
              </w:rPr>
            </w:pPr>
            <w:r w:rsidRPr="00F968AA">
              <w:rPr>
                <w:color w:val="00B050"/>
                <w:sz w:val="22"/>
                <w:szCs w:val="22"/>
              </w:rPr>
              <w:t>1.2.2</w:t>
            </w:r>
          </w:p>
        </w:tc>
        <w:tc>
          <w:tcPr>
            <w:tcW w:w="2778"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both"/>
              <w:rPr>
                <w:color w:val="00B050"/>
                <w:sz w:val="22"/>
                <w:szCs w:val="22"/>
              </w:rPr>
            </w:pPr>
            <w:r w:rsidRPr="00F968AA">
              <w:rPr>
                <w:color w:val="00B050"/>
                <w:sz w:val="22"/>
                <w:szCs w:val="22"/>
              </w:rPr>
              <w:t>Inne działania na rzecz poprawy bazy rekreacyjno-kulturalnej lub oferty edukacyjnej w tym zachowanie lub szerzenie dziedzictwa lokalnego</w:t>
            </w:r>
          </w:p>
        </w:tc>
        <w:tc>
          <w:tcPr>
            <w:tcW w:w="1194" w:type="pct"/>
            <w:gridSpan w:val="2"/>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both"/>
              <w:rPr>
                <w:color w:val="00B050"/>
                <w:sz w:val="22"/>
                <w:szCs w:val="22"/>
              </w:rPr>
            </w:pPr>
            <w:r w:rsidRPr="00F968AA">
              <w:rPr>
                <w:color w:val="00B050"/>
                <w:sz w:val="22"/>
                <w:szCs w:val="22"/>
              </w:rPr>
              <w:t>Konkurs (tylko dla organizacji pozarządowych z wyłączeniem związków wyznaniowych)</w:t>
            </w:r>
          </w:p>
        </w:tc>
        <w:tc>
          <w:tcPr>
            <w:tcW w:w="639" w:type="pct"/>
            <w:tcBorders>
              <w:top w:val="single" w:sz="4" w:space="0" w:color="auto"/>
              <w:left w:val="single" w:sz="4" w:space="0" w:color="auto"/>
              <w:bottom w:val="single" w:sz="4" w:space="0" w:color="auto"/>
              <w:right w:val="single" w:sz="4" w:space="0" w:color="auto"/>
            </w:tcBorders>
          </w:tcPr>
          <w:p w:rsidR="00F968AA" w:rsidRPr="00F968AA" w:rsidRDefault="00F968AA" w:rsidP="00F968AA">
            <w:pPr>
              <w:jc w:val="both"/>
              <w:rPr>
                <w:color w:val="00B050"/>
                <w:sz w:val="22"/>
                <w:szCs w:val="22"/>
              </w:rPr>
            </w:pPr>
            <w:r w:rsidRPr="00F968AA">
              <w:rPr>
                <w:color w:val="00B050"/>
                <w:sz w:val="22"/>
                <w:szCs w:val="22"/>
              </w:rPr>
              <w:t xml:space="preserve">82 500,00 </w:t>
            </w:r>
            <w:r w:rsidRPr="00F968AA">
              <w:rPr>
                <w:rFonts w:cs="Times New Roman"/>
                <w:color w:val="00B050"/>
                <w:sz w:val="22"/>
                <w:szCs w:val="22"/>
              </w:rPr>
              <w:t>€</w:t>
            </w:r>
          </w:p>
        </w:tc>
      </w:tr>
    </w:tbl>
    <w:p w:rsidR="000925B7" w:rsidRDefault="000925B7"/>
    <w:p w:rsidR="00F968AA" w:rsidRPr="002F42E9" w:rsidRDefault="002F42E9">
      <w:pPr>
        <w:rPr>
          <w:color w:val="00B050"/>
        </w:rPr>
      </w:pPr>
      <w:r w:rsidRPr="002F42E9">
        <w:rPr>
          <w:color w:val="00B050"/>
        </w:rPr>
        <w:t>/NOWY PROJEKT WSPÓŁPRACY/</w:t>
      </w:r>
    </w:p>
    <w:p w:rsidR="00F968AA" w:rsidRDefault="00F968AA"/>
    <w:p w:rsidR="00A6344A" w:rsidRPr="00AD7C9B" w:rsidRDefault="00A6344A" w:rsidP="00A6344A">
      <w:pPr>
        <w:rPr>
          <w:color w:val="00B050"/>
          <w:sz w:val="22"/>
          <w:szCs w:val="22"/>
        </w:rPr>
      </w:pPr>
      <w:r w:rsidRPr="00AD7C9B">
        <w:rPr>
          <w:b/>
          <w:bCs/>
          <w:color w:val="00B050"/>
          <w:sz w:val="22"/>
          <w:szCs w:val="22"/>
        </w:rPr>
        <w:t>„Rozwój turystyki obszaru LGD Dolina Raby w oparciu o sieć questów”</w:t>
      </w:r>
      <w:r w:rsidRPr="00AD7C9B">
        <w:rPr>
          <w:color w:val="00B050"/>
          <w:sz w:val="22"/>
          <w:szCs w:val="22"/>
        </w:rPr>
        <w:t xml:space="preserve">. </w:t>
      </w:r>
    </w:p>
    <w:p w:rsidR="00A6344A" w:rsidRPr="00AD7C9B" w:rsidRDefault="00A6344A" w:rsidP="00A6344A">
      <w:pPr>
        <w:rPr>
          <w:color w:val="00B050"/>
          <w:sz w:val="22"/>
          <w:szCs w:val="22"/>
        </w:rPr>
      </w:pPr>
    </w:p>
    <w:p w:rsidR="00A6344A" w:rsidRPr="00AD7C9B" w:rsidRDefault="00A6344A" w:rsidP="00A6344A">
      <w:pPr>
        <w:rPr>
          <w:color w:val="00B050"/>
          <w:sz w:val="22"/>
          <w:szCs w:val="22"/>
        </w:rPr>
      </w:pPr>
      <w:r w:rsidRPr="00AD7C9B">
        <w:rPr>
          <w:color w:val="00B050"/>
          <w:sz w:val="22"/>
          <w:szCs w:val="22"/>
        </w:rPr>
        <w:t xml:space="preserve">Projekt krajowy. Celem projektu jest rozwój turystyki obszaru LGD Dolina Raby w oparciu o stworzenie gier terenowych. </w:t>
      </w:r>
    </w:p>
    <w:p w:rsidR="00A6344A" w:rsidRPr="00AD7C9B" w:rsidRDefault="00A6344A" w:rsidP="00A6344A">
      <w:pPr>
        <w:rPr>
          <w:color w:val="00B050"/>
          <w:sz w:val="22"/>
          <w:szCs w:val="22"/>
        </w:rPr>
      </w:pPr>
      <w:r w:rsidRPr="00AD7C9B">
        <w:rPr>
          <w:color w:val="00B050"/>
          <w:sz w:val="22"/>
          <w:szCs w:val="22"/>
        </w:rPr>
        <w:t>Wskaźnik produktu: Liczba zrealizowanych projektów współpracy (w tym projektów międzynarodowych) – 1</w:t>
      </w:r>
    </w:p>
    <w:p w:rsidR="00A6344A" w:rsidRPr="00AD7C9B" w:rsidRDefault="00A6344A" w:rsidP="00A6344A">
      <w:pPr>
        <w:rPr>
          <w:color w:val="00B050"/>
          <w:sz w:val="22"/>
          <w:szCs w:val="22"/>
        </w:rPr>
      </w:pPr>
      <w:r w:rsidRPr="00AD7C9B">
        <w:rPr>
          <w:color w:val="00B050"/>
          <w:sz w:val="22"/>
          <w:szCs w:val="22"/>
        </w:rPr>
        <w:t>Wskaźnik rezultatu: Liczba sieci questów powstałych na obszarze LGD Dolina Raby – 1 sztuka</w:t>
      </w:r>
    </w:p>
    <w:p w:rsidR="00A6344A" w:rsidRPr="00AD7C9B" w:rsidRDefault="00A6344A" w:rsidP="00A6344A">
      <w:pPr>
        <w:rPr>
          <w:color w:val="00B050"/>
          <w:sz w:val="22"/>
          <w:szCs w:val="22"/>
        </w:rPr>
      </w:pPr>
      <w:r w:rsidRPr="00AD7C9B">
        <w:rPr>
          <w:color w:val="00B050"/>
          <w:sz w:val="22"/>
          <w:szCs w:val="22"/>
        </w:rPr>
        <w:t xml:space="preserve">Projekt wpisuje się w następujące cele szczegółowe LGD Dolina Raby: </w:t>
      </w:r>
    </w:p>
    <w:p w:rsidR="00A6344A" w:rsidRPr="00AD7C9B" w:rsidRDefault="00A6344A" w:rsidP="00A6344A">
      <w:pPr>
        <w:numPr>
          <w:ilvl w:val="0"/>
          <w:numId w:val="1"/>
        </w:numPr>
        <w:rPr>
          <w:color w:val="00B050"/>
          <w:sz w:val="22"/>
          <w:szCs w:val="22"/>
        </w:rPr>
      </w:pPr>
      <w:r w:rsidRPr="00AD7C9B">
        <w:rPr>
          <w:color w:val="00B050"/>
          <w:sz w:val="22"/>
          <w:szCs w:val="22"/>
        </w:rPr>
        <w:t xml:space="preserve">Cel szczegółowy 1.3 Aktywizacja społeczności do działań prorozwojowych oraz rozwój współpracy na obszarze LGD, międzyregionalnej i międzynarodowej. </w:t>
      </w:r>
    </w:p>
    <w:p w:rsidR="00A6344A" w:rsidRPr="00AD7C9B" w:rsidRDefault="00A6344A" w:rsidP="00A6344A">
      <w:pPr>
        <w:numPr>
          <w:ilvl w:val="0"/>
          <w:numId w:val="1"/>
        </w:numPr>
        <w:rPr>
          <w:color w:val="00B050"/>
          <w:sz w:val="22"/>
          <w:szCs w:val="22"/>
        </w:rPr>
      </w:pPr>
      <w:r w:rsidRPr="00AD7C9B">
        <w:rPr>
          <w:color w:val="00B050"/>
          <w:sz w:val="22"/>
          <w:szCs w:val="22"/>
        </w:rPr>
        <w:t>Cel szczegółowy 2.2 Rozwój turystyki i produktów turystycznych, szczególnie w zakresie turystyki aktywnej i weekendowej.</w:t>
      </w:r>
    </w:p>
    <w:p w:rsidR="00A6344A" w:rsidRPr="00AD7C9B" w:rsidRDefault="00A6344A" w:rsidP="00A6344A">
      <w:pPr>
        <w:rPr>
          <w:color w:val="00B050"/>
          <w:sz w:val="22"/>
          <w:szCs w:val="22"/>
        </w:rPr>
      </w:pPr>
      <w:r w:rsidRPr="00AD7C9B">
        <w:rPr>
          <w:color w:val="00B050"/>
          <w:sz w:val="22"/>
          <w:szCs w:val="22"/>
        </w:rPr>
        <w:t xml:space="preserve">Przykładowe zadania planowane w ramach projektu: stworzenie gier terenowych (questów) na obszarze LGD Dolina Raby, kampania informacyjno – promocyjna ( m.in. zakup gadżetów promocyjnych, wydruk materiałów). </w:t>
      </w:r>
    </w:p>
    <w:p w:rsidR="00A6344A" w:rsidRDefault="00A6344A"/>
    <w:p w:rsidR="00A6344A" w:rsidRDefault="00A6344A"/>
    <w:p w:rsidR="00A6344A" w:rsidRPr="00A6344A" w:rsidRDefault="00A6344A" w:rsidP="00A6344A">
      <w:pPr>
        <w:jc w:val="both"/>
        <w:rPr>
          <w:color w:val="000000"/>
          <w:sz w:val="22"/>
          <w:szCs w:val="22"/>
        </w:rPr>
      </w:pPr>
      <w:r w:rsidRPr="00A6344A">
        <w:rPr>
          <w:color w:val="000000"/>
          <w:sz w:val="22"/>
          <w:szCs w:val="22"/>
        </w:rPr>
        <w:t xml:space="preserve">Cel szczegółowy 2.2: Rozwój turystyki i produktów turystycznych, szczególnie w zakresie turystyki aktywnej </w:t>
      </w:r>
      <w:r w:rsidRPr="00A6344A">
        <w:rPr>
          <w:color w:val="000000"/>
          <w:sz w:val="22"/>
          <w:szCs w:val="22"/>
        </w:rPr>
        <w:br/>
        <w:t>i weekendowej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871"/>
        <w:gridCol w:w="2005"/>
        <w:gridCol w:w="1530"/>
      </w:tblGrid>
      <w:tr w:rsidR="00A6344A" w:rsidRPr="00A6344A" w:rsidTr="00A6344A">
        <w:tc>
          <w:tcPr>
            <w:tcW w:w="394" w:type="pct"/>
          </w:tcPr>
          <w:p w:rsidR="00A6344A" w:rsidRPr="00A6344A" w:rsidRDefault="00A6344A" w:rsidP="00A6344A">
            <w:pPr>
              <w:jc w:val="center"/>
              <w:rPr>
                <w:b/>
                <w:sz w:val="22"/>
                <w:szCs w:val="22"/>
              </w:rPr>
            </w:pPr>
            <w:r w:rsidRPr="00A6344A">
              <w:rPr>
                <w:b/>
                <w:sz w:val="22"/>
                <w:szCs w:val="22"/>
              </w:rPr>
              <w:t>Lp</w:t>
            </w:r>
          </w:p>
        </w:tc>
        <w:tc>
          <w:tcPr>
            <w:tcW w:w="2773" w:type="pct"/>
          </w:tcPr>
          <w:p w:rsidR="00A6344A" w:rsidRPr="00A6344A" w:rsidRDefault="00A6344A" w:rsidP="00A6344A">
            <w:pPr>
              <w:jc w:val="center"/>
              <w:rPr>
                <w:b/>
                <w:sz w:val="22"/>
                <w:szCs w:val="22"/>
              </w:rPr>
            </w:pPr>
            <w:r w:rsidRPr="00A6344A">
              <w:rPr>
                <w:b/>
                <w:sz w:val="22"/>
                <w:szCs w:val="22"/>
              </w:rPr>
              <w:t>Przedsięwzięcie</w:t>
            </w:r>
          </w:p>
        </w:tc>
        <w:tc>
          <w:tcPr>
            <w:tcW w:w="1165" w:type="pct"/>
          </w:tcPr>
          <w:p w:rsidR="00A6344A" w:rsidRPr="00A6344A" w:rsidRDefault="00A6344A" w:rsidP="00A6344A">
            <w:pPr>
              <w:jc w:val="center"/>
              <w:rPr>
                <w:b/>
                <w:sz w:val="22"/>
                <w:szCs w:val="22"/>
              </w:rPr>
            </w:pPr>
            <w:r w:rsidRPr="00A6344A">
              <w:rPr>
                <w:b/>
                <w:sz w:val="22"/>
                <w:szCs w:val="22"/>
              </w:rPr>
              <w:t>typ projektu</w:t>
            </w:r>
          </w:p>
        </w:tc>
        <w:tc>
          <w:tcPr>
            <w:tcW w:w="669" w:type="pct"/>
          </w:tcPr>
          <w:p w:rsidR="00A6344A" w:rsidRPr="00A6344A" w:rsidRDefault="00A6344A" w:rsidP="00A6344A">
            <w:pPr>
              <w:jc w:val="center"/>
              <w:rPr>
                <w:b/>
                <w:sz w:val="22"/>
                <w:szCs w:val="22"/>
              </w:rPr>
            </w:pPr>
            <w:r w:rsidRPr="00A6344A">
              <w:rPr>
                <w:b/>
                <w:sz w:val="22"/>
                <w:szCs w:val="22"/>
              </w:rPr>
              <w:t>Środki [</w:t>
            </w:r>
            <w:r w:rsidR="002F42E9" w:rsidRPr="002F42E9">
              <w:rPr>
                <w:b/>
                <w:strike/>
                <w:color w:val="FF0000"/>
                <w:sz w:val="22"/>
                <w:szCs w:val="22"/>
              </w:rPr>
              <w:t>zł</w:t>
            </w:r>
            <w:r w:rsidR="002F42E9">
              <w:rPr>
                <w:b/>
                <w:sz w:val="22"/>
                <w:szCs w:val="22"/>
              </w:rPr>
              <w:t xml:space="preserve"> </w:t>
            </w:r>
            <w:r w:rsidRPr="00A6344A">
              <w:rPr>
                <w:rFonts w:cs="Times New Roman"/>
                <w:b/>
                <w:color w:val="00B050"/>
                <w:sz w:val="22"/>
                <w:szCs w:val="22"/>
              </w:rPr>
              <w:t>€</w:t>
            </w:r>
            <w:r w:rsidRPr="00A6344A">
              <w:rPr>
                <w:b/>
                <w:sz w:val="22"/>
                <w:szCs w:val="22"/>
              </w:rPr>
              <w:t>]</w:t>
            </w:r>
          </w:p>
        </w:tc>
      </w:tr>
      <w:tr w:rsidR="00A6344A" w:rsidRPr="00A6344A" w:rsidTr="00A6344A">
        <w:tc>
          <w:tcPr>
            <w:tcW w:w="394" w:type="pct"/>
          </w:tcPr>
          <w:p w:rsidR="00A6344A" w:rsidRPr="00A6344A" w:rsidRDefault="00A6344A" w:rsidP="00A6344A">
            <w:pPr>
              <w:jc w:val="center"/>
              <w:rPr>
                <w:sz w:val="22"/>
                <w:szCs w:val="22"/>
              </w:rPr>
            </w:pPr>
            <w:r w:rsidRPr="00A6344A">
              <w:rPr>
                <w:sz w:val="22"/>
                <w:szCs w:val="22"/>
              </w:rPr>
              <w:t>2.2.1</w:t>
            </w:r>
          </w:p>
        </w:tc>
        <w:tc>
          <w:tcPr>
            <w:tcW w:w="2773" w:type="pct"/>
            <w:vAlign w:val="center"/>
          </w:tcPr>
          <w:p w:rsidR="00A6344A" w:rsidRPr="00A6344A" w:rsidRDefault="00A6344A" w:rsidP="00A6344A">
            <w:pPr>
              <w:rPr>
                <w:sz w:val="22"/>
                <w:szCs w:val="22"/>
              </w:rPr>
            </w:pPr>
            <w:r w:rsidRPr="00A6344A">
              <w:rPr>
                <w:sz w:val="22"/>
                <w:szCs w:val="22"/>
              </w:rPr>
              <w:t>Podejmowanie działalności gospodarczej w zakresie turystyki, w tym agroturystyki</w:t>
            </w:r>
          </w:p>
        </w:tc>
        <w:tc>
          <w:tcPr>
            <w:tcW w:w="1165" w:type="pct"/>
          </w:tcPr>
          <w:p w:rsidR="00A6344A" w:rsidRPr="00A6344A" w:rsidRDefault="00A6344A" w:rsidP="00A6344A">
            <w:pPr>
              <w:jc w:val="center"/>
              <w:rPr>
                <w:sz w:val="22"/>
                <w:szCs w:val="22"/>
              </w:rPr>
            </w:pPr>
            <w:r w:rsidRPr="00A6344A">
              <w:rPr>
                <w:sz w:val="22"/>
                <w:szCs w:val="22"/>
              </w:rPr>
              <w:t>Konkurs</w:t>
            </w:r>
          </w:p>
        </w:tc>
        <w:tc>
          <w:tcPr>
            <w:tcW w:w="669" w:type="pct"/>
            <w:vAlign w:val="center"/>
          </w:tcPr>
          <w:p w:rsidR="00A6344A" w:rsidRPr="00A6344A" w:rsidRDefault="00A6344A" w:rsidP="00A6344A">
            <w:pPr>
              <w:jc w:val="right"/>
              <w:rPr>
                <w:strike/>
                <w:sz w:val="22"/>
                <w:szCs w:val="22"/>
              </w:rPr>
            </w:pPr>
            <w:r w:rsidRPr="00A6344A">
              <w:rPr>
                <w:strike/>
                <w:color w:val="FF0000"/>
                <w:sz w:val="22"/>
                <w:szCs w:val="22"/>
              </w:rPr>
              <w:t>165 000,00</w:t>
            </w:r>
            <w:r w:rsidR="002F42E9" w:rsidRPr="002F42E9">
              <w:rPr>
                <w:strike/>
                <w:color w:val="FF0000"/>
                <w:sz w:val="22"/>
                <w:szCs w:val="22"/>
              </w:rPr>
              <w:t>zł</w:t>
            </w:r>
            <w:r w:rsidRPr="00A6344A">
              <w:rPr>
                <w:strike/>
                <w:sz w:val="22"/>
                <w:szCs w:val="22"/>
              </w:rPr>
              <w:br/>
            </w:r>
            <w:r w:rsidRPr="00A6344A">
              <w:rPr>
                <w:color w:val="00B050"/>
                <w:sz w:val="22"/>
                <w:szCs w:val="22"/>
              </w:rPr>
              <w:t>38 864,68</w:t>
            </w:r>
            <w:r w:rsidR="002F42E9">
              <w:rPr>
                <w:color w:val="00B050"/>
                <w:sz w:val="22"/>
                <w:szCs w:val="22"/>
              </w:rPr>
              <w:t xml:space="preserve"> </w:t>
            </w:r>
            <w:r w:rsidR="002F42E9">
              <w:rPr>
                <w:rFonts w:cs="Times New Roman"/>
                <w:color w:val="00B050"/>
                <w:sz w:val="22"/>
                <w:szCs w:val="22"/>
              </w:rPr>
              <w:t>€</w:t>
            </w:r>
          </w:p>
        </w:tc>
      </w:tr>
      <w:tr w:rsidR="00A6344A" w:rsidRPr="00A6344A" w:rsidTr="00A6344A">
        <w:tc>
          <w:tcPr>
            <w:tcW w:w="394" w:type="pct"/>
          </w:tcPr>
          <w:p w:rsidR="00A6344A" w:rsidRPr="00A6344A" w:rsidRDefault="00A6344A" w:rsidP="00A6344A">
            <w:pPr>
              <w:jc w:val="center"/>
              <w:rPr>
                <w:sz w:val="22"/>
                <w:szCs w:val="22"/>
              </w:rPr>
            </w:pPr>
            <w:r w:rsidRPr="00A6344A">
              <w:rPr>
                <w:sz w:val="22"/>
                <w:szCs w:val="22"/>
              </w:rPr>
              <w:t>2.2.2</w:t>
            </w:r>
          </w:p>
        </w:tc>
        <w:tc>
          <w:tcPr>
            <w:tcW w:w="2773" w:type="pct"/>
            <w:vAlign w:val="center"/>
          </w:tcPr>
          <w:p w:rsidR="00A6344A" w:rsidRPr="00A6344A" w:rsidRDefault="00A6344A" w:rsidP="00A6344A">
            <w:pPr>
              <w:rPr>
                <w:sz w:val="22"/>
                <w:szCs w:val="22"/>
              </w:rPr>
            </w:pPr>
            <w:r w:rsidRPr="00A6344A">
              <w:rPr>
                <w:sz w:val="22"/>
                <w:szCs w:val="22"/>
              </w:rPr>
              <w:t>Rozwój działalności gospodarczej w zakresie turystyki, w tym agroturystyki</w:t>
            </w:r>
          </w:p>
        </w:tc>
        <w:tc>
          <w:tcPr>
            <w:tcW w:w="1165" w:type="pct"/>
          </w:tcPr>
          <w:p w:rsidR="00A6344A" w:rsidRPr="00A6344A" w:rsidRDefault="00A6344A" w:rsidP="00A6344A">
            <w:pPr>
              <w:jc w:val="center"/>
              <w:rPr>
                <w:sz w:val="22"/>
                <w:szCs w:val="22"/>
              </w:rPr>
            </w:pPr>
            <w:r w:rsidRPr="00A6344A">
              <w:rPr>
                <w:sz w:val="22"/>
                <w:szCs w:val="22"/>
              </w:rPr>
              <w:t>Konkurs</w:t>
            </w:r>
          </w:p>
        </w:tc>
        <w:tc>
          <w:tcPr>
            <w:tcW w:w="669" w:type="pct"/>
            <w:vAlign w:val="center"/>
          </w:tcPr>
          <w:p w:rsidR="00A6344A" w:rsidRPr="00A6344A" w:rsidRDefault="00A6344A" w:rsidP="00A6344A">
            <w:pPr>
              <w:jc w:val="right"/>
              <w:rPr>
                <w:strike/>
                <w:color w:val="00B050"/>
                <w:sz w:val="22"/>
                <w:szCs w:val="22"/>
              </w:rPr>
            </w:pPr>
            <w:r w:rsidRPr="00A6344A">
              <w:rPr>
                <w:strike/>
                <w:color w:val="FF0000"/>
                <w:sz w:val="22"/>
                <w:szCs w:val="22"/>
              </w:rPr>
              <w:t>400 000,00</w:t>
            </w:r>
            <w:r w:rsidR="002F42E9" w:rsidRPr="002F42E9">
              <w:rPr>
                <w:strike/>
                <w:color w:val="FF0000"/>
                <w:sz w:val="22"/>
                <w:szCs w:val="22"/>
              </w:rPr>
              <w:t>zł</w:t>
            </w:r>
            <w:r w:rsidRPr="00A6344A">
              <w:rPr>
                <w:strike/>
                <w:color w:val="00B050"/>
                <w:sz w:val="22"/>
                <w:szCs w:val="22"/>
              </w:rPr>
              <w:br/>
            </w:r>
            <w:r w:rsidRPr="00A6344A">
              <w:rPr>
                <w:color w:val="00B050"/>
                <w:sz w:val="22"/>
                <w:szCs w:val="22"/>
              </w:rPr>
              <w:t>70 854,86</w:t>
            </w:r>
            <w:r w:rsidR="002F42E9">
              <w:rPr>
                <w:rFonts w:cs="Times New Roman"/>
                <w:color w:val="00B050"/>
                <w:sz w:val="22"/>
                <w:szCs w:val="22"/>
              </w:rPr>
              <w:t>€</w:t>
            </w:r>
          </w:p>
        </w:tc>
      </w:tr>
      <w:tr w:rsidR="00A6344A" w:rsidRPr="00A6344A" w:rsidTr="00A6344A">
        <w:tc>
          <w:tcPr>
            <w:tcW w:w="5000" w:type="pct"/>
            <w:gridSpan w:val="4"/>
          </w:tcPr>
          <w:p w:rsidR="00A6344A" w:rsidRPr="00A6344A" w:rsidRDefault="00A6344A" w:rsidP="00A6344A">
            <w:pPr>
              <w:jc w:val="both"/>
              <w:rPr>
                <w:sz w:val="22"/>
                <w:szCs w:val="22"/>
              </w:rPr>
            </w:pPr>
            <w:r w:rsidRPr="00A6344A">
              <w:rPr>
                <w:sz w:val="22"/>
                <w:szCs w:val="22"/>
              </w:rPr>
              <w:t>W obu w/w przedsięwzięciach dotyczy projektów w zakresie Sekcji I i sekcji N dział 79 systemu REGON</w:t>
            </w:r>
          </w:p>
        </w:tc>
      </w:tr>
      <w:tr w:rsidR="00A6344A" w:rsidRPr="00A6344A" w:rsidTr="00A6344A">
        <w:tc>
          <w:tcPr>
            <w:tcW w:w="394" w:type="pct"/>
          </w:tcPr>
          <w:p w:rsidR="00A6344A" w:rsidRPr="00A6344A" w:rsidRDefault="00A6344A" w:rsidP="00A6344A">
            <w:pPr>
              <w:jc w:val="center"/>
              <w:rPr>
                <w:sz w:val="22"/>
                <w:szCs w:val="22"/>
              </w:rPr>
            </w:pPr>
            <w:r w:rsidRPr="00A6344A">
              <w:rPr>
                <w:sz w:val="22"/>
                <w:szCs w:val="22"/>
              </w:rPr>
              <w:t>2.2.3</w:t>
            </w:r>
          </w:p>
        </w:tc>
        <w:tc>
          <w:tcPr>
            <w:tcW w:w="2773" w:type="pct"/>
            <w:vAlign w:val="center"/>
          </w:tcPr>
          <w:p w:rsidR="00A6344A" w:rsidRPr="00A6344A" w:rsidRDefault="00A6344A" w:rsidP="00A6344A">
            <w:pPr>
              <w:rPr>
                <w:sz w:val="22"/>
                <w:szCs w:val="22"/>
              </w:rPr>
            </w:pPr>
            <w:r w:rsidRPr="00A6344A">
              <w:rPr>
                <w:sz w:val="22"/>
                <w:szCs w:val="22"/>
              </w:rPr>
              <w:t>Rozwój ogólnodostępnej infrastruktury rekreacyjno-turystycznej</w:t>
            </w:r>
          </w:p>
        </w:tc>
        <w:tc>
          <w:tcPr>
            <w:tcW w:w="1165" w:type="pct"/>
          </w:tcPr>
          <w:p w:rsidR="00A6344A" w:rsidRPr="00A6344A" w:rsidRDefault="00A6344A" w:rsidP="00A6344A">
            <w:pPr>
              <w:jc w:val="center"/>
              <w:rPr>
                <w:color w:val="00B050"/>
                <w:sz w:val="22"/>
                <w:szCs w:val="22"/>
              </w:rPr>
            </w:pPr>
            <w:r w:rsidRPr="00A6344A">
              <w:rPr>
                <w:sz w:val="22"/>
                <w:szCs w:val="22"/>
              </w:rPr>
              <w:t>Konkurs (tylko dla JST i jednostek podległych</w:t>
            </w:r>
            <w:r w:rsidRPr="00A6344A">
              <w:rPr>
                <w:color w:val="00B050"/>
                <w:sz w:val="22"/>
                <w:szCs w:val="22"/>
              </w:rPr>
              <w:t xml:space="preserve"> oraz organizacji pozarządowych z wyłączeniem związków wyznaniowych )</w:t>
            </w:r>
          </w:p>
        </w:tc>
        <w:tc>
          <w:tcPr>
            <w:tcW w:w="669" w:type="pct"/>
            <w:vAlign w:val="center"/>
          </w:tcPr>
          <w:p w:rsidR="00A6344A" w:rsidRPr="00A6344A" w:rsidRDefault="00A6344A" w:rsidP="00A6344A">
            <w:pPr>
              <w:jc w:val="right"/>
              <w:rPr>
                <w:strike/>
                <w:sz w:val="22"/>
                <w:szCs w:val="22"/>
              </w:rPr>
            </w:pPr>
            <w:r w:rsidRPr="00A6344A">
              <w:rPr>
                <w:strike/>
                <w:color w:val="FF0000"/>
                <w:sz w:val="22"/>
                <w:szCs w:val="22"/>
              </w:rPr>
              <w:t>1 181 358,93</w:t>
            </w:r>
            <w:r w:rsidR="002F42E9" w:rsidRPr="002F42E9">
              <w:rPr>
                <w:strike/>
                <w:color w:val="FF0000"/>
                <w:sz w:val="22"/>
                <w:szCs w:val="22"/>
              </w:rPr>
              <w:t>zł</w:t>
            </w:r>
            <w:r w:rsidRPr="00A6344A">
              <w:rPr>
                <w:strike/>
                <w:sz w:val="22"/>
                <w:szCs w:val="22"/>
              </w:rPr>
              <w:br/>
            </w:r>
            <w:r w:rsidRPr="00A6344A">
              <w:rPr>
                <w:color w:val="00B050"/>
                <w:sz w:val="22"/>
                <w:szCs w:val="22"/>
              </w:rPr>
              <w:t>326 777,53</w:t>
            </w:r>
            <w:r w:rsidR="002F42E9">
              <w:rPr>
                <w:rFonts w:cs="Times New Roman"/>
                <w:color w:val="00B050"/>
                <w:sz w:val="22"/>
                <w:szCs w:val="22"/>
              </w:rPr>
              <w:t>€</w:t>
            </w:r>
          </w:p>
        </w:tc>
      </w:tr>
      <w:tr w:rsidR="00A6344A" w:rsidRPr="00A6344A" w:rsidTr="00A6344A">
        <w:tc>
          <w:tcPr>
            <w:tcW w:w="5000" w:type="pct"/>
            <w:gridSpan w:val="4"/>
          </w:tcPr>
          <w:p w:rsidR="00A6344A" w:rsidRPr="00A6344A" w:rsidRDefault="00A6344A" w:rsidP="00A6344A">
            <w:pPr>
              <w:jc w:val="both"/>
              <w:rPr>
                <w:sz w:val="22"/>
                <w:szCs w:val="22"/>
              </w:rPr>
            </w:pPr>
            <w:r w:rsidRPr="00A6344A">
              <w:rPr>
                <w:sz w:val="22"/>
                <w:szCs w:val="22"/>
              </w:rPr>
              <w:t>Projekt konkursowy w zakresie rozbudowy i wyposażenie infrastruktury rekreacyjno-turystycznej.</w:t>
            </w:r>
          </w:p>
        </w:tc>
      </w:tr>
      <w:tr w:rsidR="00A6344A" w:rsidRPr="00A6344A" w:rsidTr="00A6344A">
        <w:tc>
          <w:tcPr>
            <w:tcW w:w="394" w:type="pct"/>
          </w:tcPr>
          <w:p w:rsidR="00A6344A" w:rsidRPr="00A6344A" w:rsidRDefault="00A6344A" w:rsidP="00A6344A">
            <w:pPr>
              <w:jc w:val="center"/>
              <w:rPr>
                <w:sz w:val="22"/>
                <w:szCs w:val="22"/>
              </w:rPr>
            </w:pPr>
            <w:r w:rsidRPr="00A6344A">
              <w:rPr>
                <w:sz w:val="22"/>
                <w:szCs w:val="22"/>
              </w:rPr>
              <w:t>2.2.4</w:t>
            </w:r>
          </w:p>
        </w:tc>
        <w:tc>
          <w:tcPr>
            <w:tcW w:w="2773" w:type="pct"/>
            <w:vAlign w:val="center"/>
          </w:tcPr>
          <w:p w:rsidR="00A6344A" w:rsidRPr="00A6344A" w:rsidRDefault="00A6344A" w:rsidP="00A6344A">
            <w:pPr>
              <w:rPr>
                <w:sz w:val="22"/>
                <w:szCs w:val="22"/>
              </w:rPr>
            </w:pPr>
            <w:r w:rsidRPr="00A6344A">
              <w:rPr>
                <w:sz w:val="22"/>
                <w:szCs w:val="22"/>
              </w:rPr>
              <w:t>Promocja turystyczna obszaru</w:t>
            </w:r>
          </w:p>
        </w:tc>
        <w:tc>
          <w:tcPr>
            <w:tcW w:w="1165" w:type="pct"/>
          </w:tcPr>
          <w:p w:rsidR="00A6344A" w:rsidRPr="00A6344A" w:rsidRDefault="00A6344A" w:rsidP="00A6344A">
            <w:pPr>
              <w:jc w:val="center"/>
              <w:rPr>
                <w:sz w:val="22"/>
                <w:szCs w:val="22"/>
              </w:rPr>
            </w:pPr>
            <w:r w:rsidRPr="00A6344A">
              <w:rPr>
                <w:sz w:val="22"/>
                <w:szCs w:val="22"/>
              </w:rPr>
              <w:t>Projekt grantowy</w:t>
            </w:r>
          </w:p>
          <w:p w:rsidR="00A6344A" w:rsidRPr="00A6344A" w:rsidRDefault="00A6344A" w:rsidP="00A6344A">
            <w:pPr>
              <w:jc w:val="center"/>
              <w:rPr>
                <w:sz w:val="22"/>
                <w:szCs w:val="22"/>
              </w:rPr>
            </w:pPr>
          </w:p>
        </w:tc>
        <w:tc>
          <w:tcPr>
            <w:tcW w:w="669" w:type="pct"/>
            <w:vAlign w:val="center"/>
          </w:tcPr>
          <w:p w:rsidR="00A6344A" w:rsidRPr="00A6344A" w:rsidRDefault="00A6344A" w:rsidP="00A6344A">
            <w:pPr>
              <w:jc w:val="right"/>
              <w:rPr>
                <w:strike/>
                <w:sz w:val="22"/>
                <w:szCs w:val="22"/>
              </w:rPr>
            </w:pPr>
            <w:r w:rsidRPr="00A6344A">
              <w:rPr>
                <w:sz w:val="22"/>
                <w:szCs w:val="22"/>
              </w:rPr>
              <w:br/>
            </w:r>
            <w:r w:rsidRPr="00A6344A">
              <w:rPr>
                <w:strike/>
                <w:color w:val="FF0000"/>
                <w:sz w:val="22"/>
                <w:szCs w:val="22"/>
              </w:rPr>
              <w:t>87 479,00</w:t>
            </w:r>
            <w:r w:rsidR="002F42E9" w:rsidRPr="002F42E9">
              <w:rPr>
                <w:strike/>
                <w:color w:val="FF0000"/>
                <w:sz w:val="22"/>
                <w:szCs w:val="22"/>
              </w:rPr>
              <w:t>zł</w:t>
            </w:r>
            <w:r w:rsidRPr="00A6344A">
              <w:rPr>
                <w:strike/>
                <w:sz w:val="22"/>
                <w:szCs w:val="22"/>
              </w:rPr>
              <w:br/>
            </w:r>
            <w:r w:rsidRPr="00A6344A">
              <w:rPr>
                <w:color w:val="00B050"/>
                <w:sz w:val="22"/>
                <w:szCs w:val="22"/>
              </w:rPr>
              <w:t>21 189,02</w:t>
            </w:r>
            <w:r w:rsidR="002F42E9">
              <w:rPr>
                <w:color w:val="00B050"/>
                <w:sz w:val="22"/>
                <w:szCs w:val="22"/>
              </w:rPr>
              <w:t xml:space="preserve"> </w:t>
            </w:r>
            <w:r w:rsidR="002F42E9">
              <w:rPr>
                <w:rFonts w:cs="Times New Roman"/>
                <w:color w:val="00B050"/>
                <w:sz w:val="22"/>
                <w:szCs w:val="22"/>
              </w:rPr>
              <w:t>€</w:t>
            </w:r>
          </w:p>
        </w:tc>
      </w:tr>
    </w:tbl>
    <w:p w:rsidR="00A6344A" w:rsidRDefault="00A6344A" w:rsidP="00A6344A">
      <w:pPr>
        <w:jc w:val="both"/>
        <w:rPr>
          <w:sz w:val="22"/>
          <w:szCs w:val="22"/>
        </w:rPr>
      </w:pPr>
    </w:p>
    <w:p w:rsidR="00A6344A" w:rsidRPr="00A6344A" w:rsidRDefault="00A6344A" w:rsidP="00A6344A">
      <w:pPr>
        <w:jc w:val="both"/>
        <w:rPr>
          <w:sz w:val="22"/>
          <w:szCs w:val="22"/>
        </w:rPr>
      </w:pPr>
      <w:r w:rsidRPr="00A6344A">
        <w:rPr>
          <w:sz w:val="22"/>
          <w:szCs w:val="22"/>
        </w:rPr>
        <w:t>Cel szczegółowy 2.3: Rozwój pozostałej działalności gospodarczej, szczególnie innowacyjnej i przyjaznej dla środowiska, w sferach wytwórczości, budownictwa i usług dla ludności, bez działalności handlowej.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5038"/>
        <w:gridCol w:w="2111"/>
        <w:gridCol w:w="1211"/>
      </w:tblGrid>
      <w:tr w:rsidR="00A6344A" w:rsidRPr="00A6344A" w:rsidTr="00A6344A">
        <w:tc>
          <w:tcPr>
            <w:tcW w:w="387" w:type="pct"/>
          </w:tcPr>
          <w:p w:rsidR="00A6344A" w:rsidRPr="00A6344A" w:rsidRDefault="00A6344A" w:rsidP="00A6344A">
            <w:pPr>
              <w:jc w:val="center"/>
              <w:rPr>
                <w:b/>
                <w:sz w:val="22"/>
                <w:szCs w:val="22"/>
              </w:rPr>
            </w:pPr>
            <w:r w:rsidRPr="00A6344A">
              <w:rPr>
                <w:b/>
                <w:sz w:val="22"/>
                <w:szCs w:val="22"/>
              </w:rPr>
              <w:lastRenderedPageBreak/>
              <w:t>Lp</w:t>
            </w:r>
          </w:p>
        </w:tc>
        <w:tc>
          <w:tcPr>
            <w:tcW w:w="2780" w:type="pct"/>
          </w:tcPr>
          <w:p w:rsidR="00A6344A" w:rsidRPr="00A6344A" w:rsidRDefault="00A6344A" w:rsidP="00A6344A">
            <w:pPr>
              <w:jc w:val="center"/>
              <w:rPr>
                <w:b/>
                <w:sz w:val="22"/>
                <w:szCs w:val="22"/>
              </w:rPr>
            </w:pPr>
            <w:r w:rsidRPr="00A6344A">
              <w:rPr>
                <w:b/>
                <w:sz w:val="22"/>
                <w:szCs w:val="22"/>
              </w:rPr>
              <w:t>Przedsięwzięcie</w:t>
            </w:r>
          </w:p>
        </w:tc>
        <w:tc>
          <w:tcPr>
            <w:tcW w:w="1165" w:type="pct"/>
          </w:tcPr>
          <w:p w:rsidR="00A6344A" w:rsidRPr="00A6344A" w:rsidRDefault="00A6344A" w:rsidP="00A6344A">
            <w:pPr>
              <w:jc w:val="center"/>
              <w:rPr>
                <w:b/>
                <w:sz w:val="22"/>
                <w:szCs w:val="22"/>
              </w:rPr>
            </w:pPr>
            <w:r w:rsidRPr="00A6344A">
              <w:rPr>
                <w:b/>
                <w:sz w:val="22"/>
                <w:szCs w:val="22"/>
              </w:rPr>
              <w:t>typ projektu</w:t>
            </w:r>
          </w:p>
        </w:tc>
        <w:tc>
          <w:tcPr>
            <w:tcW w:w="669" w:type="pct"/>
          </w:tcPr>
          <w:p w:rsidR="00A6344A" w:rsidRPr="00A6344A" w:rsidRDefault="00A6344A" w:rsidP="00A6344A">
            <w:pPr>
              <w:jc w:val="center"/>
              <w:rPr>
                <w:b/>
                <w:sz w:val="22"/>
                <w:szCs w:val="22"/>
              </w:rPr>
            </w:pPr>
            <w:r w:rsidRPr="00A6344A">
              <w:rPr>
                <w:b/>
                <w:sz w:val="22"/>
                <w:szCs w:val="22"/>
              </w:rPr>
              <w:t>Środki [</w:t>
            </w:r>
            <w:r w:rsidR="002F42E9" w:rsidRPr="002F42E9">
              <w:rPr>
                <w:b/>
                <w:strike/>
                <w:color w:val="FF0000"/>
                <w:sz w:val="22"/>
                <w:szCs w:val="22"/>
              </w:rPr>
              <w:t>zł</w:t>
            </w:r>
            <w:r w:rsidR="002F42E9">
              <w:rPr>
                <w:b/>
                <w:sz w:val="22"/>
                <w:szCs w:val="22"/>
              </w:rPr>
              <w:t xml:space="preserve"> </w:t>
            </w:r>
            <w:r w:rsidRPr="00A6344A">
              <w:rPr>
                <w:rFonts w:cs="Times New Roman"/>
                <w:b/>
                <w:color w:val="00B050"/>
                <w:sz w:val="22"/>
                <w:szCs w:val="22"/>
              </w:rPr>
              <w:t>€</w:t>
            </w:r>
            <w:r w:rsidRPr="00A6344A">
              <w:rPr>
                <w:b/>
                <w:sz w:val="22"/>
                <w:szCs w:val="22"/>
              </w:rPr>
              <w:t>]</w:t>
            </w:r>
          </w:p>
        </w:tc>
      </w:tr>
      <w:tr w:rsidR="00A6344A" w:rsidRPr="00A6344A" w:rsidTr="00A6344A">
        <w:tc>
          <w:tcPr>
            <w:tcW w:w="387" w:type="pct"/>
          </w:tcPr>
          <w:p w:rsidR="00A6344A" w:rsidRPr="00A6344A" w:rsidRDefault="00A6344A" w:rsidP="00A6344A">
            <w:pPr>
              <w:jc w:val="center"/>
              <w:rPr>
                <w:sz w:val="22"/>
                <w:szCs w:val="22"/>
              </w:rPr>
            </w:pPr>
            <w:r w:rsidRPr="00A6344A">
              <w:rPr>
                <w:sz w:val="22"/>
                <w:szCs w:val="22"/>
              </w:rPr>
              <w:t>2.3.1</w:t>
            </w:r>
          </w:p>
        </w:tc>
        <w:tc>
          <w:tcPr>
            <w:tcW w:w="2780" w:type="pct"/>
            <w:vAlign w:val="center"/>
          </w:tcPr>
          <w:p w:rsidR="00A6344A" w:rsidRPr="00A6344A" w:rsidRDefault="00A6344A" w:rsidP="00A6344A">
            <w:pPr>
              <w:rPr>
                <w:sz w:val="22"/>
                <w:szCs w:val="22"/>
              </w:rPr>
            </w:pPr>
            <w:r w:rsidRPr="00A6344A">
              <w:rPr>
                <w:sz w:val="22"/>
                <w:szCs w:val="22"/>
              </w:rPr>
              <w:t>Podejmowanie działalności gospodarczej</w:t>
            </w:r>
          </w:p>
        </w:tc>
        <w:tc>
          <w:tcPr>
            <w:tcW w:w="1165" w:type="pct"/>
          </w:tcPr>
          <w:p w:rsidR="00A6344A" w:rsidRPr="00A6344A" w:rsidRDefault="00A6344A" w:rsidP="00A6344A">
            <w:pPr>
              <w:jc w:val="center"/>
              <w:rPr>
                <w:sz w:val="22"/>
                <w:szCs w:val="22"/>
              </w:rPr>
            </w:pPr>
            <w:r w:rsidRPr="00A6344A">
              <w:rPr>
                <w:sz w:val="22"/>
                <w:szCs w:val="22"/>
              </w:rPr>
              <w:t>Konkurs</w:t>
            </w:r>
          </w:p>
        </w:tc>
        <w:tc>
          <w:tcPr>
            <w:tcW w:w="669" w:type="pct"/>
            <w:vAlign w:val="center"/>
          </w:tcPr>
          <w:p w:rsidR="00A6344A" w:rsidRPr="00A6344A" w:rsidRDefault="00A6344A" w:rsidP="00A6344A">
            <w:pPr>
              <w:jc w:val="right"/>
              <w:rPr>
                <w:strike/>
                <w:sz w:val="22"/>
                <w:szCs w:val="22"/>
              </w:rPr>
            </w:pPr>
            <w:r w:rsidRPr="00A6344A">
              <w:rPr>
                <w:strike/>
                <w:color w:val="FF0000"/>
                <w:sz w:val="22"/>
                <w:szCs w:val="22"/>
              </w:rPr>
              <w:t>935 000,00</w:t>
            </w:r>
            <w:r w:rsidR="002F42E9" w:rsidRPr="002F42E9">
              <w:rPr>
                <w:strike/>
                <w:color w:val="FF0000"/>
                <w:sz w:val="22"/>
                <w:szCs w:val="22"/>
              </w:rPr>
              <w:t xml:space="preserve"> zł</w:t>
            </w:r>
            <w:r w:rsidRPr="00A6344A">
              <w:rPr>
                <w:color w:val="00B050"/>
                <w:sz w:val="22"/>
                <w:szCs w:val="22"/>
              </w:rPr>
              <w:br/>
              <w:t xml:space="preserve">370 383,99 </w:t>
            </w:r>
            <w:r w:rsidRPr="00A6344A">
              <w:rPr>
                <w:rFonts w:cs="Times New Roman"/>
                <w:color w:val="00B050"/>
                <w:sz w:val="22"/>
                <w:szCs w:val="22"/>
              </w:rPr>
              <w:t>€</w:t>
            </w:r>
          </w:p>
        </w:tc>
      </w:tr>
      <w:tr w:rsidR="00A6344A" w:rsidRPr="00A6344A" w:rsidTr="00A6344A">
        <w:tc>
          <w:tcPr>
            <w:tcW w:w="387" w:type="pct"/>
          </w:tcPr>
          <w:p w:rsidR="00A6344A" w:rsidRPr="00A6344A" w:rsidRDefault="00A6344A" w:rsidP="00A6344A">
            <w:pPr>
              <w:jc w:val="center"/>
              <w:rPr>
                <w:sz w:val="22"/>
                <w:szCs w:val="22"/>
              </w:rPr>
            </w:pPr>
            <w:r w:rsidRPr="00A6344A">
              <w:rPr>
                <w:sz w:val="22"/>
                <w:szCs w:val="22"/>
              </w:rPr>
              <w:t>2.3.2</w:t>
            </w:r>
          </w:p>
        </w:tc>
        <w:tc>
          <w:tcPr>
            <w:tcW w:w="2780" w:type="pct"/>
            <w:vAlign w:val="center"/>
          </w:tcPr>
          <w:p w:rsidR="00A6344A" w:rsidRPr="00A6344A" w:rsidRDefault="00A6344A" w:rsidP="00A6344A">
            <w:pPr>
              <w:rPr>
                <w:sz w:val="22"/>
                <w:szCs w:val="22"/>
              </w:rPr>
            </w:pPr>
            <w:r w:rsidRPr="00A6344A">
              <w:rPr>
                <w:sz w:val="22"/>
                <w:szCs w:val="22"/>
              </w:rPr>
              <w:t>Rozwój działalności gospodarczej</w:t>
            </w:r>
          </w:p>
        </w:tc>
        <w:tc>
          <w:tcPr>
            <w:tcW w:w="1165" w:type="pct"/>
          </w:tcPr>
          <w:p w:rsidR="00A6344A" w:rsidRPr="00A6344A" w:rsidRDefault="00A6344A" w:rsidP="00A6344A">
            <w:pPr>
              <w:jc w:val="center"/>
              <w:rPr>
                <w:sz w:val="22"/>
                <w:szCs w:val="22"/>
              </w:rPr>
            </w:pPr>
            <w:r w:rsidRPr="00A6344A">
              <w:rPr>
                <w:sz w:val="22"/>
                <w:szCs w:val="22"/>
              </w:rPr>
              <w:t>Konkurs</w:t>
            </w:r>
          </w:p>
        </w:tc>
        <w:tc>
          <w:tcPr>
            <w:tcW w:w="669" w:type="pct"/>
            <w:vAlign w:val="center"/>
          </w:tcPr>
          <w:p w:rsidR="00A6344A" w:rsidRPr="00A6344A" w:rsidRDefault="00A6344A" w:rsidP="00A6344A">
            <w:pPr>
              <w:jc w:val="right"/>
              <w:rPr>
                <w:strike/>
                <w:sz w:val="22"/>
                <w:szCs w:val="22"/>
              </w:rPr>
            </w:pPr>
            <w:r w:rsidRPr="00A6344A">
              <w:rPr>
                <w:strike/>
                <w:color w:val="FF0000"/>
                <w:sz w:val="22"/>
                <w:szCs w:val="22"/>
              </w:rPr>
              <w:t>1 470 000,00</w:t>
            </w:r>
            <w:r w:rsidR="002F42E9" w:rsidRPr="002F42E9">
              <w:rPr>
                <w:strike/>
                <w:color w:val="FF0000"/>
                <w:sz w:val="22"/>
                <w:szCs w:val="22"/>
              </w:rPr>
              <w:t>zł</w:t>
            </w:r>
            <w:r w:rsidRPr="00A6344A">
              <w:rPr>
                <w:strike/>
                <w:sz w:val="22"/>
                <w:szCs w:val="22"/>
              </w:rPr>
              <w:br/>
            </w:r>
            <w:r w:rsidRPr="00A6344A">
              <w:rPr>
                <w:color w:val="00B050"/>
                <w:sz w:val="22"/>
                <w:szCs w:val="22"/>
              </w:rPr>
              <w:t xml:space="preserve">436 826,92 </w:t>
            </w:r>
            <w:r w:rsidRPr="00A6344A">
              <w:rPr>
                <w:rFonts w:cs="Times New Roman"/>
                <w:color w:val="00B050"/>
                <w:sz w:val="22"/>
                <w:szCs w:val="22"/>
              </w:rPr>
              <w:t>€</w:t>
            </w:r>
          </w:p>
        </w:tc>
      </w:tr>
      <w:tr w:rsidR="00A6344A" w:rsidRPr="00A6344A" w:rsidTr="00A6344A">
        <w:tc>
          <w:tcPr>
            <w:tcW w:w="5000" w:type="pct"/>
            <w:gridSpan w:val="4"/>
          </w:tcPr>
          <w:p w:rsidR="00A6344A" w:rsidRPr="00A6344A" w:rsidRDefault="00A6344A" w:rsidP="00A6344A">
            <w:pPr>
              <w:jc w:val="both"/>
              <w:rPr>
                <w:sz w:val="22"/>
                <w:szCs w:val="22"/>
              </w:rPr>
            </w:pPr>
            <w:r w:rsidRPr="00A6344A">
              <w:rPr>
                <w:sz w:val="22"/>
                <w:szCs w:val="22"/>
              </w:rPr>
              <w:t>W w/w przedsięwzięciach – projekty dowolnych branż, bez działalności handlowej</w:t>
            </w:r>
          </w:p>
        </w:tc>
      </w:tr>
    </w:tbl>
    <w:p w:rsidR="00A6344A" w:rsidRDefault="00A6344A"/>
    <w:p w:rsidR="00F968AA" w:rsidRDefault="00F968AA"/>
    <w:p w:rsidR="002F42E9" w:rsidRPr="002F42E9" w:rsidRDefault="002F42E9" w:rsidP="002F42E9">
      <w:pPr>
        <w:keepNext/>
        <w:spacing w:before="240" w:after="60"/>
        <w:outlineLvl w:val="1"/>
        <w:rPr>
          <w:rFonts w:ascii="Arial" w:hAnsi="Arial" w:cs="Times New Roman"/>
          <w:b/>
          <w:bCs/>
          <w:iCs/>
          <w:sz w:val="28"/>
          <w:szCs w:val="28"/>
        </w:rPr>
      </w:pPr>
      <w:r w:rsidRPr="002F42E9">
        <w:rPr>
          <w:rFonts w:ascii="Arial" w:hAnsi="Arial" w:cs="Times New Roman"/>
          <w:b/>
          <w:iCs/>
          <w:sz w:val="28"/>
          <w:szCs w:val="28"/>
        </w:rPr>
        <w:t xml:space="preserve">Rozdział VI. </w:t>
      </w:r>
      <w:r w:rsidRPr="002F42E9">
        <w:rPr>
          <w:rFonts w:ascii="Arial" w:hAnsi="Arial" w:cs="Arial"/>
          <w:b/>
          <w:iCs/>
          <w:sz w:val="28"/>
          <w:szCs w:val="28"/>
        </w:rPr>
        <w:t>SPOSÓB WYBORU I OCENY OPERACJI ORAZ SPOSÓB USTANAWIANIA KRYTERIÓW WYBORU</w:t>
      </w:r>
      <w:r w:rsidRPr="002F42E9">
        <w:rPr>
          <w:rFonts w:ascii="Arial" w:hAnsi="Arial" w:cs="Arial"/>
          <w:b/>
          <w:bCs/>
          <w:iCs/>
          <w:sz w:val="28"/>
          <w:szCs w:val="28"/>
        </w:rPr>
        <w:t xml:space="preserve"> </w:t>
      </w:r>
    </w:p>
    <w:p w:rsidR="00F968AA" w:rsidRDefault="002F42E9">
      <w:r>
        <w:t>(…)</w:t>
      </w:r>
    </w:p>
    <w:p w:rsidR="002F42E9" w:rsidRDefault="002F42E9"/>
    <w:p w:rsidR="00F968AA" w:rsidRPr="00F968AA" w:rsidRDefault="00F968AA" w:rsidP="00F968AA">
      <w:pPr>
        <w:autoSpaceDE w:val="0"/>
        <w:rPr>
          <w:rFonts w:cs="Times New Roman"/>
          <w:i/>
          <w:sz w:val="26"/>
          <w:szCs w:val="26"/>
        </w:rPr>
      </w:pPr>
      <w:r w:rsidRPr="00F968AA">
        <w:rPr>
          <w:rFonts w:cs="Times New Roman"/>
          <w:i/>
          <w:sz w:val="26"/>
          <w:szCs w:val="26"/>
        </w:rPr>
        <w:t xml:space="preserve">6. Podstawowe zasady ustalania wysokości wsparcia na realizację operacji w ramach LSR </w:t>
      </w:r>
    </w:p>
    <w:p w:rsidR="00F968AA" w:rsidRPr="00F968AA" w:rsidRDefault="00F968AA" w:rsidP="00F968AA">
      <w:pPr>
        <w:jc w:val="both"/>
        <w:rPr>
          <w:rFonts w:cs="Times New Roman"/>
          <w:bCs/>
          <w:sz w:val="22"/>
          <w:szCs w:val="22"/>
        </w:rPr>
      </w:pPr>
      <w:r w:rsidRPr="00F968AA">
        <w:rPr>
          <w:rFonts w:cs="Times New Roman"/>
          <w:sz w:val="22"/>
          <w:szCs w:val="22"/>
        </w:rPr>
        <w:t xml:space="preserve">Projekty konkursowe ogłaszane będą dla różnych grup docelowych, zgodnie z procedurami zawartymi w LSR. W przypadku niektórych konkursów powyżej zaznaczono grupy docelowe wnioskodawców. Wnioskodawcy i ich projekty muszą spełniać wymogi zawarte w Rozporządzeniu </w:t>
      </w:r>
      <w:r w:rsidRPr="00F968AA">
        <w:rPr>
          <w:rFonts w:cs="Times New Roman"/>
          <w:bCs/>
          <w:sz w:val="22"/>
          <w:szCs w:val="22"/>
        </w:rPr>
        <w:t>Ministra Rolnictwa i Rozwoju Wsi</w:t>
      </w:r>
      <w:r w:rsidRPr="00F968AA">
        <w:rPr>
          <w:rFonts w:cs="Times New Roman"/>
          <w:sz w:val="22"/>
          <w:szCs w:val="22"/>
        </w:rPr>
        <w:t xml:space="preserve"> z dnia 24 września 2015 r. </w:t>
      </w:r>
      <w:r w:rsidRPr="00F968AA">
        <w:rPr>
          <w:rFonts w:cs="Times New Roman"/>
          <w:bCs/>
          <w:sz w:val="22"/>
          <w:szCs w:val="22"/>
        </w:rPr>
        <w:t>w sprawie szczegółowych warunków i trybu przyznawania pomocy finansowej w ramach poddziałania</w:t>
      </w:r>
      <w:r w:rsidRPr="00F968AA">
        <w:rPr>
          <w:rFonts w:cs="Times New Roman"/>
          <w:sz w:val="22"/>
          <w:szCs w:val="22"/>
        </w:rPr>
        <w:t xml:space="preserve"> </w:t>
      </w:r>
      <w:r w:rsidRPr="00F968AA">
        <w:rPr>
          <w:rFonts w:cs="Times New Roman"/>
          <w:bCs/>
          <w:sz w:val="22"/>
          <w:szCs w:val="22"/>
        </w:rPr>
        <w:t>„Wsparcie na wdrażanie operacji w ramach strategii rozwoju lokalnego kierowanego przez społeczność”</w:t>
      </w:r>
      <w:r w:rsidRPr="00F968AA">
        <w:rPr>
          <w:rFonts w:cs="Times New Roman"/>
          <w:sz w:val="22"/>
          <w:szCs w:val="22"/>
        </w:rPr>
        <w:t xml:space="preserve"> </w:t>
      </w:r>
      <w:r w:rsidRPr="00F968AA">
        <w:rPr>
          <w:rFonts w:cs="Times New Roman"/>
          <w:bCs/>
          <w:sz w:val="22"/>
          <w:szCs w:val="22"/>
        </w:rPr>
        <w:t>objętego Programem Rozwoju Obszarów Wiejskich na lata 2014–2020 oraz zapisów w LSR:</w:t>
      </w:r>
    </w:p>
    <w:p w:rsidR="00F968AA" w:rsidRPr="00F968AA" w:rsidRDefault="00F968AA" w:rsidP="00F968AA">
      <w:pPr>
        <w:jc w:val="both"/>
        <w:rPr>
          <w:rFonts w:cs="Times New Roman"/>
          <w:bCs/>
          <w:sz w:val="22"/>
          <w:szCs w:val="22"/>
        </w:rPr>
      </w:pPr>
    </w:p>
    <w:p w:rsidR="00F968AA" w:rsidRPr="00F968AA" w:rsidRDefault="00F968AA" w:rsidP="00F968AA">
      <w:pPr>
        <w:numPr>
          <w:ilvl w:val="1"/>
          <w:numId w:val="6"/>
        </w:numPr>
        <w:tabs>
          <w:tab w:val="left" w:pos="720"/>
        </w:tabs>
        <w:ind w:left="720"/>
        <w:rPr>
          <w:rFonts w:cs="Times New Roman"/>
          <w:bCs/>
          <w:sz w:val="22"/>
          <w:szCs w:val="22"/>
        </w:rPr>
      </w:pPr>
      <w:r w:rsidRPr="00F968AA">
        <w:rPr>
          <w:rFonts w:cs="Times New Roman"/>
          <w:bCs/>
          <w:sz w:val="22"/>
          <w:szCs w:val="22"/>
        </w:rPr>
        <w:t>zadania w ramach projektów grantowych do 100% kosztów stanowiących podstawę wyliczenia kwoty wsparcia*, wysokość wsparcia zadania może wynosić od 5 000,00 zł – 20 000,00 zł**</w:t>
      </w:r>
    </w:p>
    <w:p w:rsidR="00F968AA" w:rsidRPr="00F968AA" w:rsidRDefault="00F968AA" w:rsidP="00F968AA">
      <w:pPr>
        <w:numPr>
          <w:ilvl w:val="1"/>
          <w:numId w:val="6"/>
        </w:numPr>
        <w:tabs>
          <w:tab w:val="left" w:pos="720"/>
        </w:tabs>
        <w:ind w:left="720"/>
        <w:rPr>
          <w:rFonts w:cs="Times New Roman"/>
          <w:bCs/>
          <w:sz w:val="22"/>
          <w:szCs w:val="22"/>
        </w:rPr>
      </w:pPr>
      <w:r w:rsidRPr="00F968AA">
        <w:rPr>
          <w:rFonts w:cs="Times New Roman"/>
          <w:bCs/>
          <w:sz w:val="22"/>
          <w:szCs w:val="22"/>
        </w:rPr>
        <w:t xml:space="preserve">projekty własne do </w:t>
      </w:r>
      <w:r w:rsidRPr="00F968AA">
        <w:rPr>
          <w:rFonts w:cs="Times New Roman"/>
          <w:bCs/>
          <w:color w:val="00B050"/>
          <w:sz w:val="22"/>
          <w:szCs w:val="22"/>
        </w:rPr>
        <w:t>99</w:t>
      </w:r>
      <w:r w:rsidRPr="00F968AA">
        <w:rPr>
          <w:rFonts w:cs="Times New Roman"/>
          <w:bCs/>
          <w:sz w:val="22"/>
          <w:szCs w:val="22"/>
        </w:rPr>
        <w:t xml:space="preserve">%, </w:t>
      </w:r>
    </w:p>
    <w:p w:rsidR="00F968AA" w:rsidRPr="00F968AA" w:rsidRDefault="00F968AA" w:rsidP="00F968AA">
      <w:pPr>
        <w:numPr>
          <w:ilvl w:val="1"/>
          <w:numId w:val="6"/>
        </w:numPr>
        <w:tabs>
          <w:tab w:val="left" w:pos="720"/>
        </w:tabs>
        <w:ind w:left="720"/>
        <w:rPr>
          <w:rFonts w:cs="Times New Roman"/>
          <w:strike/>
          <w:color w:val="FF0000"/>
          <w:sz w:val="22"/>
          <w:szCs w:val="22"/>
        </w:rPr>
      </w:pPr>
      <w:r w:rsidRPr="00F968AA">
        <w:rPr>
          <w:rFonts w:cs="Times New Roman"/>
          <w:bCs/>
          <w:strike/>
          <w:color w:val="FF0000"/>
          <w:sz w:val="22"/>
          <w:szCs w:val="22"/>
        </w:rPr>
        <w:t>inkubator przetwórstwa lokalnego – do 200 tyś, zgodnie z zasadami programu (intensywność wsparcia dla podmiotów gospodarczych mikroprzedsiębiorstwa do 70%, małe przedsiębiorstwa do 50%, dla podmiotów  nie działających dla zysku do 85%),</w:t>
      </w:r>
    </w:p>
    <w:p w:rsidR="00F968AA" w:rsidRPr="00F968AA" w:rsidRDefault="00F968AA" w:rsidP="00F968AA">
      <w:pPr>
        <w:numPr>
          <w:ilvl w:val="1"/>
          <w:numId w:val="6"/>
        </w:numPr>
        <w:tabs>
          <w:tab w:val="num" w:pos="709"/>
        </w:tabs>
        <w:ind w:left="709" w:hanging="283"/>
        <w:rPr>
          <w:rFonts w:cs="Times New Roman"/>
          <w:sz w:val="22"/>
          <w:szCs w:val="22"/>
        </w:rPr>
      </w:pPr>
      <w:r w:rsidRPr="00F968AA">
        <w:rPr>
          <w:rFonts w:cs="Times New Roman"/>
          <w:sz w:val="22"/>
          <w:szCs w:val="22"/>
        </w:rPr>
        <w:t>duże projekty podmiotów innych niż podmiotów gospodarczych i innych niż grantowe do 100%,</w:t>
      </w:r>
    </w:p>
    <w:p w:rsidR="00F968AA" w:rsidRPr="00F968AA" w:rsidRDefault="00F968AA" w:rsidP="00F968AA">
      <w:pPr>
        <w:numPr>
          <w:ilvl w:val="1"/>
          <w:numId w:val="6"/>
        </w:numPr>
        <w:tabs>
          <w:tab w:val="num" w:pos="709"/>
        </w:tabs>
        <w:ind w:left="709" w:hanging="283"/>
        <w:rPr>
          <w:rFonts w:cs="Times New Roman"/>
          <w:bCs/>
          <w:sz w:val="22"/>
          <w:szCs w:val="22"/>
        </w:rPr>
      </w:pPr>
      <w:r w:rsidRPr="00F968AA">
        <w:rPr>
          <w:rFonts w:cs="Times New Roman"/>
          <w:sz w:val="22"/>
          <w:szCs w:val="22"/>
        </w:rPr>
        <w:t>podmioty publiczne do 63,63% (nie dotyczy zadań realizowanych w ramach projektów grantowych),</w:t>
      </w:r>
    </w:p>
    <w:p w:rsidR="00F968AA" w:rsidRPr="00F968AA" w:rsidRDefault="00F968AA" w:rsidP="00F968AA">
      <w:pPr>
        <w:numPr>
          <w:ilvl w:val="1"/>
          <w:numId w:val="6"/>
        </w:numPr>
        <w:tabs>
          <w:tab w:val="left" w:pos="720"/>
        </w:tabs>
        <w:ind w:left="720"/>
        <w:rPr>
          <w:rFonts w:cs="Times New Roman"/>
          <w:bCs/>
          <w:color w:val="FF0000"/>
          <w:sz w:val="22"/>
          <w:szCs w:val="22"/>
        </w:rPr>
      </w:pPr>
      <w:r w:rsidRPr="00F968AA">
        <w:rPr>
          <w:rFonts w:cs="Times New Roman"/>
          <w:bCs/>
          <w:strike/>
          <w:color w:val="FF0000"/>
          <w:sz w:val="22"/>
          <w:szCs w:val="22"/>
        </w:rPr>
        <w:t>max. wysokość dofinansowania (w przypadku wszystkich beneficjentów, nie dotyczy projektów grantowych) – 200 tys. zł</w:t>
      </w:r>
      <w:r w:rsidRPr="00F968AA">
        <w:rPr>
          <w:rFonts w:cs="Times New Roman"/>
          <w:bCs/>
          <w:color w:val="FF0000"/>
          <w:sz w:val="22"/>
          <w:szCs w:val="22"/>
        </w:rPr>
        <w:t>,</w:t>
      </w:r>
    </w:p>
    <w:p w:rsidR="00F968AA" w:rsidRPr="00F968AA" w:rsidRDefault="00F968AA" w:rsidP="00F968AA">
      <w:pPr>
        <w:numPr>
          <w:ilvl w:val="1"/>
          <w:numId w:val="6"/>
        </w:numPr>
        <w:tabs>
          <w:tab w:val="left" w:pos="720"/>
        </w:tabs>
        <w:ind w:left="720"/>
        <w:rPr>
          <w:rFonts w:cs="Times New Roman"/>
          <w:bCs/>
          <w:strike/>
          <w:color w:val="FF0000"/>
          <w:sz w:val="22"/>
          <w:szCs w:val="22"/>
        </w:rPr>
      </w:pPr>
      <w:r w:rsidRPr="00F968AA">
        <w:rPr>
          <w:rFonts w:cs="Times New Roman"/>
          <w:bCs/>
          <w:strike/>
          <w:color w:val="FF0000"/>
          <w:sz w:val="22"/>
          <w:szCs w:val="22"/>
        </w:rPr>
        <w:t xml:space="preserve">LGD może wprowadzić dodatkowe warunki udzielenia wsparcia </w:t>
      </w:r>
      <w:bookmarkStart w:id="3" w:name="_Hlk74129192"/>
      <w:r w:rsidRPr="00F968AA">
        <w:rPr>
          <w:rFonts w:cs="Times New Roman"/>
          <w:bCs/>
          <w:strike/>
          <w:color w:val="FF0000"/>
          <w:sz w:val="22"/>
          <w:szCs w:val="22"/>
        </w:rPr>
        <w:t>o których mowa w ustawie o RLKS</w:t>
      </w:r>
      <w:bookmarkEnd w:id="3"/>
      <w:r w:rsidRPr="00F968AA">
        <w:rPr>
          <w:rFonts w:cs="Times New Roman"/>
          <w:bCs/>
          <w:strike/>
          <w:color w:val="FF0000"/>
          <w:sz w:val="22"/>
          <w:szCs w:val="22"/>
        </w:rPr>
        <w:t>,</w:t>
      </w:r>
    </w:p>
    <w:p w:rsidR="00F968AA" w:rsidRPr="00F968AA" w:rsidRDefault="00F968AA" w:rsidP="00F968AA">
      <w:pPr>
        <w:numPr>
          <w:ilvl w:val="1"/>
          <w:numId w:val="6"/>
        </w:numPr>
        <w:tabs>
          <w:tab w:val="left" w:pos="720"/>
        </w:tabs>
        <w:ind w:left="720"/>
        <w:rPr>
          <w:rFonts w:cs="Times New Roman"/>
          <w:bCs/>
          <w:sz w:val="22"/>
          <w:szCs w:val="22"/>
        </w:rPr>
      </w:pPr>
      <w:r w:rsidRPr="00F968AA">
        <w:rPr>
          <w:rFonts w:cs="Times New Roman"/>
          <w:bCs/>
          <w:sz w:val="22"/>
          <w:szCs w:val="22"/>
        </w:rPr>
        <w:t>intensywność dofinansowania dla małych przedsiębiorstw wynosi do 50%, dla mikroprzedsiębiorstw do 70%;</w:t>
      </w:r>
    </w:p>
    <w:p w:rsidR="00F968AA" w:rsidRPr="00F968AA" w:rsidRDefault="00F968AA" w:rsidP="00F968AA">
      <w:pPr>
        <w:numPr>
          <w:ilvl w:val="1"/>
          <w:numId w:val="6"/>
        </w:numPr>
        <w:tabs>
          <w:tab w:val="left" w:pos="720"/>
        </w:tabs>
        <w:ind w:left="720"/>
        <w:rPr>
          <w:rFonts w:cs="Times New Roman"/>
          <w:bCs/>
          <w:sz w:val="22"/>
          <w:szCs w:val="22"/>
        </w:rPr>
      </w:pPr>
      <w:r w:rsidRPr="00F968AA">
        <w:rPr>
          <w:rFonts w:cs="Times New Roman"/>
          <w:sz w:val="22"/>
          <w:szCs w:val="22"/>
        </w:rPr>
        <w:t>wykluczenie projektów, mogących zawsze lub potencjalnie oddziaływać szkodliwie na środowisko zgodnie z Rozporządzeniem Rady Ministrów z 9 listopada 2010 r. w sprawie przedsięwzięć mogących znacząco oddziaływać na środowisko,</w:t>
      </w:r>
    </w:p>
    <w:p w:rsidR="00F968AA" w:rsidRPr="00F968AA" w:rsidRDefault="00F968AA" w:rsidP="00F968AA">
      <w:pPr>
        <w:numPr>
          <w:ilvl w:val="1"/>
          <w:numId w:val="6"/>
        </w:numPr>
        <w:tabs>
          <w:tab w:val="left" w:pos="720"/>
        </w:tabs>
        <w:ind w:left="720"/>
        <w:rPr>
          <w:rFonts w:cs="Times New Roman"/>
          <w:sz w:val="22"/>
          <w:szCs w:val="22"/>
        </w:rPr>
      </w:pPr>
      <w:r w:rsidRPr="00F968AA">
        <w:rPr>
          <w:rFonts w:cs="Times New Roman"/>
          <w:bCs/>
          <w:sz w:val="22"/>
          <w:szCs w:val="22"/>
        </w:rPr>
        <w:t>przez organizacje pozarządowe należy rozumieć również podmioty wymienione w np.3 ust.3 ustawy o działalności pożytku publicznego i wolontariacie, chyba że w danym przedsięwzięciu LSR wykluczono ze wsparcia dany podmiot,</w:t>
      </w:r>
    </w:p>
    <w:p w:rsidR="00F968AA" w:rsidRPr="00F968AA" w:rsidRDefault="00F968AA" w:rsidP="00F968AA">
      <w:pPr>
        <w:numPr>
          <w:ilvl w:val="1"/>
          <w:numId w:val="6"/>
        </w:numPr>
        <w:tabs>
          <w:tab w:val="left" w:pos="720"/>
        </w:tabs>
        <w:ind w:left="720"/>
        <w:rPr>
          <w:rFonts w:cs="Times New Roman"/>
          <w:sz w:val="22"/>
          <w:szCs w:val="22"/>
        </w:rPr>
      </w:pPr>
      <w:r w:rsidRPr="00F968AA">
        <w:rPr>
          <w:rFonts w:cs="Times New Roman"/>
          <w:bCs/>
          <w:sz w:val="22"/>
          <w:szCs w:val="22"/>
        </w:rPr>
        <w:t xml:space="preserve">LGD w ogłoszeniu o naborze wniosków może ustanowić dodatkowe zasady udzielenia wsparcia o których mowa w ustawie o RLKS np. w zakresie wysokości maksymalnej kwoty </w:t>
      </w:r>
      <w:r w:rsidRPr="00F968AA">
        <w:rPr>
          <w:rFonts w:cs="Times New Roman"/>
          <w:bCs/>
          <w:sz w:val="22"/>
          <w:szCs w:val="22"/>
        </w:rPr>
        <w:lastRenderedPageBreak/>
        <w:t>wnioskowanej.</w:t>
      </w:r>
    </w:p>
    <w:p w:rsidR="00F968AA" w:rsidRPr="00F968AA" w:rsidRDefault="00F968AA" w:rsidP="00F968AA">
      <w:pPr>
        <w:ind w:left="720"/>
        <w:rPr>
          <w:rFonts w:cs="Times New Roman"/>
          <w:sz w:val="22"/>
          <w:szCs w:val="22"/>
        </w:rPr>
      </w:pPr>
    </w:p>
    <w:p w:rsidR="00F968AA" w:rsidRPr="00F968AA" w:rsidRDefault="00F968AA" w:rsidP="00F968AA">
      <w:pPr>
        <w:widowControl/>
        <w:suppressAutoHyphens w:val="0"/>
        <w:ind w:left="426"/>
        <w:jc w:val="both"/>
        <w:rPr>
          <w:rFonts w:ascii="Open Sans" w:eastAsia="Times New Roman" w:hAnsi="Open Sans" w:cs="Times New Roman"/>
          <w:color w:val="555555"/>
          <w:sz w:val="22"/>
          <w:szCs w:val="22"/>
          <w:lang w:bidi="ar-SA"/>
        </w:rPr>
      </w:pPr>
      <w:r w:rsidRPr="00F968AA">
        <w:rPr>
          <w:rFonts w:cs="Times New Roman"/>
          <w:sz w:val="22"/>
          <w:szCs w:val="22"/>
        </w:rPr>
        <w:t xml:space="preserve">* koszty stanowiące podstawę wyliczenia kwoty wsparcia określone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 w § 17 ust. 1 </w:t>
      </w:r>
    </w:p>
    <w:p w:rsidR="00F968AA" w:rsidRPr="00F968AA" w:rsidRDefault="00F968AA" w:rsidP="00F968AA">
      <w:pPr>
        <w:ind w:left="426"/>
        <w:rPr>
          <w:rFonts w:cs="Times New Roman"/>
          <w:sz w:val="22"/>
          <w:szCs w:val="22"/>
        </w:rPr>
      </w:pPr>
      <w:r w:rsidRPr="00F968AA">
        <w:rPr>
          <w:rFonts w:cs="Times New Roman"/>
          <w:sz w:val="22"/>
          <w:szCs w:val="22"/>
        </w:rPr>
        <w:t>** maksymalna wysokość wsparcia dla danego zadania w ramach projektu grantowego będzie określana w ogłoszeniu o naborze.</w:t>
      </w:r>
    </w:p>
    <w:p w:rsidR="00F968AA" w:rsidRDefault="00F968AA"/>
    <w:p w:rsidR="00F968AA" w:rsidRDefault="00F968AA"/>
    <w:p w:rsidR="00F968AA" w:rsidRPr="00F968AA" w:rsidRDefault="00F968AA" w:rsidP="00F968AA">
      <w:pPr>
        <w:rPr>
          <w:rFonts w:ascii="Arial" w:hAnsi="Arial" w:cs="Arial"/>
          <w:b/>
          <w:sz w:val="28"/>
          <w:szCs w:val="28"/>
        </w:rPr>
      </w:pPr>
      <w:r w:rsidRPr="00F968AA">
        <w:rPr>
          <w:rFonts w:ascii="Arial" w:hAnsi="Arial" w:cs="Arial"/>
          <w:b/>
          <w:sz w:val="28"/>
          <w:szCs w:val="28"/>
        </w:rPr>
        <w:t>Załącznik nr 1. Procedura aktualizacji LSR</w:t>
      </w:r>
    </w:p>
    <w:p w:rsidR="00F968AA" w:rsidRPr="00F968AA" w:rsidRDefault="00F968AA" w:rsidP="00F968AA">
      <w:pPr>
        <w:widowControl/>
        <w:spacing w:line="100" w:lineRule="atLeast"/>
        <w:jc w:val="center"/>
        <w:rPr>
          <w:rFonts w:cs="Times New Roman"/>
          <w:b/>
          <w:bCs/>
          <w:color w:val="000000"/>
          <w:kern w:val="1"/>
          <w:sz w:val="22"/>
          <w:szCs w:val="22"/>
          <w:lang w:eastAsia="ar-SA" w:bidi="ar-SA"/>
        </w:rPr>
      </w:pPr>
      <w:r w:rsidRPr="00F968AA">
        <w:rPr>
          <w:rFonts w:cs="Times New Roman"/>
          <w:b/>
          <w:bCs/>
          <w:color w:val="000000"/>
          <w:kern w:val="1"/>
          <w:sz w:val="22"/>
          <w:szCs w:val="22"/>
          <w:lang w:eastAsia="ar-SA" w:bidi="ar-SA"/>
        </w:rPr>
        <w:t>I. Organy odpowiedzialne za proces aktualizacji LSR</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1. Aktualizacja LSR należy do kompetencji WZC.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2. Organem odpowiedzialnym za przeprowadzenie procesu aktualizacji LSR jest Zarząd. </w:t>
      </w:r>
    </w:p>
    <w:p w:rsidR="00F968AA" w:rsidRPr="00F968AA" w:rsidRDefault="00F968AA" w:rsidP="00F968AA">
      <w:pPr>
        <w:widowControl/>
        <w:spacing w:after="23" w:line="100" w:lineRule="atLeast"/>
        <w:ind w:left="284" w:hanging="284"/>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3. Jednostką wspomagającą, wykonującą na bieżąco czynności techniczne związane z procesem aktualizacji LSR, jest Biuro LGD. </w:t>
      </w:r>
    </w:p>
    <w:p w:rsidR="00F968AA" w:rsidRPr="00F968AA" w:rsidRDefault="00F968AA" w:rsidP="00F968AA">
      <w:pPr>
        <w:widowControl/>
        <w:spacing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4. Zarząd jest odpowiedzialny za analizę i ocenę danych gromadzonych lub przygotowywanych przez Biuro LGD. </w:t>
      </w:r>
    </w:p>
    <w:p w:rsidR="00F968AA" w:rsidRPr="00F968AA" w:rsidRDefault="00F968AA" w:rsidP="00F968AA">
      <w:pPr>
        <w:widowControl/>
        <w:spacing w:line="100" w:lineRule="atLeast"/>
        <w:jc w:val="center"/>
        <w:rPr>
          <w:rFonts w:cs="Times New Roman"/>
          <w:b/>
          <w:bCs/>
          <w:color w:val="000000"/>
          <w:kern w:val="1"/>
          <w:sz w:val="22"/>
          <w:szCs w:val="22"/>
          <w:lang w:eastAsia="ar-SA" w:bidi="ar-SA"/>
        </w:rPr>
      </w:pPr>
      <w:r w:rsidRPr="00F968AA">
        <w:rPr>
          <w:rFonts w:cs="Times New Roman"/>
          <w:b/>
          <w:bCs/>
          <w:color w:val="000000"/>
          <w:kern w:val="1"/>
          <w:sz w:val="22"/>
          <w:szCs w:val="22"/>
          <w:lang w:eastAsia="ar-SA" w:bidi="ar-SA"/>
        </w:rPr>
        <w:t>II. Proces aktualizacji LSR</w:t>
      </w:r>
    </w:p>
    <w:p w:rsidR="00F968AA" w:rsidRPr="00F968AA" w:rsidRDefault="00F968AA" w:rsidP="00F968AA">
      <w:pPr>
        <w:widowControl/>
        <w:spacing w:after="21"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1. Aktualizacja LSR to proces, który ma na celu wprowadzenie koniecznych zmian, w tym działań naprawczych. </w:t>
      </w:r>
    </w:p>
    <w:p w:rsidR="00F968AA" w:rsidRPr="00F968AA" w:rsidRDefault="00F968AA" w:rsidP="00F968AA">
      <w:pPr>
        <w:widowControl/>
        <w:spacing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2. LSR wymaga aktualizacji w szczególności: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1) w kontekście dokonania zmian: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a) statutu lub innych dokumentów Stowarzyszenia, jeśli skutkują one dezaktualizacją zapisów zawartych w LSR;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b) kryteriów oceny lub procedur, wpływających na treści zawarte w LSR;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c) aktualizacji Programu Rozwoju Obszarów Wiejskich na lata 2014-2020 lub innych przepisów prawa regulujących kwestie opisane w LSR;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2) w efekcie prowadzonego monitoringu i ewaluacji w zakresie: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a) celów i przedsięwzięć,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b) wskaźników,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c) planu działania,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d) planu komunikacji, </w:t>
      </w:r>
    </w:p>
    <w:p w:rsidR="00F968AA" w:rsidRPr="00F968AA" w:rsidRDefault="00F968AA" w:rsidP="00F968AA">
      <w:pPr>
        <w:widowControl/>
        <w:spacing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e) budżetu LSR – również w wypadku zmian wartości budżetu, wynikających z decyzji Samorządu Województwa Małopolskiego. </w:t>
      </w:r>
    </w:p>
    <w:p w:rsidR="00F968AA" w:rsidRPr="00F968AA" w:rsidRDefault="00F968AA" w:rsidP="00F968AA">
      <w:pPr>
        <w:widowControl/>
        <w:spacing w:after="21"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3. W razie konieczności dokonania zmian proces aktualizacji LSR inicjuje Zarząd. </w:t>
      </w:r>
    </w:p>
    <w:p w:rsidR="00F968AA" w:rsidRPr="00F968AA" w:rsidRDefault="00F968AA" w:rsidP="00F968AA">
      <w:pPr>
        <w:widowControl/>
        <w:spacing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4. Zarząd, we współpracy z Biurem LGD, organizuje proces aktualizacji LSR i dla jak najpełniejszego jej wdrożenia dokonuje czynności w zakresie: </w:t>
      </w:r>
    </w:p>
    <w:p w:rsidR="00F968AA" w:rsidRPr="00F968AA" w:rsidRDefault="00F968AA" w:rsidP="00F968AA">
      <w:pPr>
        <w:widowControl/>
        <w:spacing w:after="23" w:line="100" w:lineRule="atLeast"/>
        <w:jc w:val="both"/>
        <w:rPr>
          <w:rFonts w:cs="Times New Roman"/>
          <w:color w:val="000000"/>
          <w:kern w:val="1"/>
          <w:sz w:val="22"/>
          <w:szCs w:val="22"/>
          <w:lang w:eastAsia="ar-SA" w:bidi="ar-SA"/>
        </w:rPr>
      </w:pPr>
      <w:r w:rsidRPr="00F968AA">
        <w:rPr>
          <w:rFonts w:cs="Times New Roman"/>
          <w:color w:val="000000"/>
          <w:kern w:val="1"/>
          <w:sz w:val="22"/>
          <w:szCs w:val="22"/>
          <w:lang w:eastAsia="ar-SA" w:bidi="ar-SA"/>
        </w:rPr>
        <w:t xml:space="preserve">1) dookreślenia zakresu i brzmienia proponowanych zmian; </w:t>
      </w:r>
    </w:p>
    <w:p w:rsidR="00F968AA" w:rsidRPr="00F968AA" w:rsidRDefault="00F968AA" w:rsidP="00F968AA">
      <w:pPr>
        <w:widowControl/>
        <w:spacing w:after="21" w:line="100" w:lineRule="atLeast"/>
        <w:jc w:val="both"/>
        <w:rPr>
          <w:rFonts w:cs="Times New Roman"/>
          <w:kern w:val="1"/>
          <w:sz w:val="22"/>
          <w:szCs w:val="22"/>
          <w:lang w:eastAsia="ar-SA" w:bidi="ar-SA"/>
        </w:rPr>
      </w:pPr>
      <w:r w:rsidRPr="00F968AA">
        <w:rPr>
          <w:rFonts w:cs="Times New Roman"/>
          <w:color w:val="000000"/>
          <w:kern w:val="1"/>
          <w:sz w:val="22"/>
          <w:szCs w:val="22"/>
          <w:lang w:eastAsia="ar-SA" w:bidi="ar-SA"/>
        </w:rPr>
        <w:t>2) określenia metod angażowania społeczności lokalnej w proces aktualizacji strategii</w:t>
      </w:r>
      <w:r w:rsidRPr="00F968AA">
        <w:rPr>
          <w:rFonts w:cs="Times New Roman"/>
          <w:kern w:val="1"/>
          <w:sz w:val="22"/>
          <w:szCs w:val="22"/>
          <w:lang w:eastAsia="ar-SA" w:bidi="ar-SA"/>
        </w:rPr>
        <w:t xml:space="preserve">. </w:t>
      </w:r>
    </w:p>
    <w:p w:rsidR="00F968AA" w:rsidRPr="00F968AA" w:rsidRDefault="00F968AA" w:rsidP="00F968AA">
      <w:pPr>
        <w:widowControl/>
        <w:spacing w:after="21" w:line="100" w:lineRule="atLeast"/>
        <w:jc w:val="both"/>
        <w:rPr>
          <w:rFonts w:cs="Times New Roman"/>
          <w:kern w:val="1"/>
          <w:sz w:val="22"/>
          <w:szCs w:val="22"/>
          <w:lang w:eastAsia="ar-SA" w:bidi="ar-SA"/>
        </w:rPr>
      </w:pPr>
      <w:r w:rsidRPr="00F968AA">
        <w:rPr>
          <w:rFonts w:cs="Times New Roman"/>
          <w:kern w:val="1"/>
          <w:sz w:val="22"/>
          <w:szCs w:val="22"/>
          <w:lang w:eastAsia="ar-SA" w:bidi="ar-SA"/>
        </w:rPr>
        <w:t>5. Na podstawie wyników prac Forum Lokalnego, jako stałej formy partycypacyjnej,</w:t>
      </w:r>
      <w:r w:rsidRPr="00F968AA">
        <w:rPr>
          <w:rFonts w:cs="Times New Roman"/>
          <w:color w:val="FF0000"/>
          <w:kern w:val="1"/>
          <w:sz w:val="22"/>
          <w:szCs w:val="22"/>
          <w:lang w:eastAsia="ar-SA" w:bidi="ar-SA"/>
        </w:rPr>
        <w:t xml:space="preserve"> </w:t>
      </w:r>
      <w:r w:rsidRPr="00F968AA">
        <w:rPr>
          <w:rFonts w:cs="Times New Roman"/>
          <w:kern w:val="1"/>
          <w:sz w:val="22"/>
          <w:szCs w:val="22"/>
          <w:lang w:eastAsia="ar-SA" w:bidi="ar-SA"/>
        </w:rPr>
        <w:t xml:space="preserve">Biuro LGD sporządza zestawienie uwag i rekomendacji, które poddawane będą konsultacjom społecznym. </w:t>
      </w:r>
    </w:p>
    <w:p w:rsidR="00F968AA" w:rsidRPr="00F968AA" w:rsidRDefault="00F968AA" w:rsidP="00F968AA">
      <w:pPr>
        <w:widowControl/>
        <w:spacing w:after="21" w:line="100" w:lineRule="atLeast"/>
        <w:jc w:val="both"/>
        <w:rPr>
          <w:rFonts w:cs="Times New Roman"/>
          <w:kern w:val="1"/>
          <w:sz w:val="22"/>
          <w:szCs w:val="22"/>
          <w:lang w:eastAsia="ar-SA" w:bidi="ar-SA"/>
        </w:rPr>
      </w:pPr>
      <w:r w:rsidRPr="00F968AA">
        <w:rPr>
          <w:rFonts w:cs="Times New Roman"/>
          <w:kern w:val="1"/>
          <w:sz w:val="22"/>
          <w:szCs w:val="22"/>
          <w:lang w:eastAsia="ar-SA" w:bidi="ar-SA"/>
        </w:rPr>
        <w:t xml:space="preserve">6. Po zakończeniu konsultacji społecznych Zarząd opracowuje końcową wersję propozycji zmian w LSR, którą przekazuje pod obrady Walnego Zebrania. </w:t>
      </w:r>
    </w:p>
    <w:p w:rsidR="00F968AA" w:rsidRPr="00F968AA" w:rsidRDefault="00F968AA" w:rsidP="00F968AA">
      <w:pPr>
        <w:widowControl/>
        <w:spacing w:line="100" w:lineRule="atLeast"/>
        <w:jc w:val="both"/>
        <w:rPr>
          <w:rFonts w:cs="Times New Roman"/>
          <w:kern w:val="1"/>
          <w:sz w:val="22"/>
          <w:szCs w:val="22"/>
          <w:lang w:eastAsia="ar-SA" w:bidi="ar-SA"/>
        </w:rPr>
      </w:pPr>
      <w:r w:rsidRPr="00F968AA">
        <w:rPr>
          <w:rFonts w:cs="Times New Roman"/>
          <w:kern w:val="1"/>
          <w:sz w:val="22"/>
          <w:szCs w:val="22"/>
          <w:lang w:eastAsia="ar-SA" w:bidi="ar-SA"/>
        </w:rPr>
        <w:t xml:space="preserve">7. Walne Zebranie Członków, podejmując stosowna uchwałę, ostatecznie określa i zatwierdza zmiany w LSR. </w:t>
      </w:r>
    </w:p>
    <w:p w:rsidR="00F968AA" w:rsidRPr="00F968AA" w:rsidRDefault="00F968AA" w:rsidP="00F968AA">
      <w:pPr>
        <w:widowControl/>
        <w:spacing w:line="100" w:lineRule="atLeast"/>
        <w:jc w:val="both"/>
        <w:rPr>
          <w:rFonts w:cs="Times New Roman"/>
          <w:i/>
          <w:kern w:val="1"/>
          <w:sz w:val="22"/>
          <w:szCs w:val="22"/>
          <w:lang w:eastAsia="ar-SA" w:bidi="ar-SA"/>
        </w:rPr>
      </w:pPr>
      <w:r w:rsidRPr="00F968AA">
        <w:rPr>
          <w:rFonts w:cs="Times New Roman"/>
          <w:kern w:val="1"/>
          <w:sz w:val="22"/>
          <w:szCs w:val="22"/>
          <w:lang w:eastAsia="ar-SA" w:bidi="ar-SA"/>
        </w:rPr>
        <w:t xml:space="preserve">8. </w:t>
      </w:r>
      <w:r w:rsidRPr="00F968AA">
        <w:rPr>
          <w:rFonts w:cs="Times New Roman"/>
          <w:color w:val="000000"/>
          <w:kern w:val="1"/>
          <w:sz w:val="22"/>
          <w:szCs w:val="22"/>
          <w:lang w:eastAsia="ar-SA" w:bidi="ar-SA"/>
        </w:rPr>
        <w:t xml:space="preserve">Zgodnie z § 19 pkt. 15 Statutu Stowarzyszenia </w:t>
      </w:r>
      <w:r w:rsidRPr="00F968AA">
        <w:rPr>
          <w:rFonts w:cs="Times New Roman"/>
          <w:i/>
          <w:kern w:val="1"/>
          <w:sz w:val="22"/>
          <w:szCs w:val="22"/>
          <w:lang w:eastAsia="ar-SA" w:bidi="ar-SA"/>
        </w:rPr>
        <w:t>„Walne Zebranie Członków może na podstawie podjętej przez siebie uchwały upoważnić Zarząd do aktualizacji oraz dokonywania zmian w Strategii Rozwoju Lokalnego Kierowanego przez Społeczność oraz do dokonywania zmian w lokalnych kryteriach wyboru operacji/grantobiorców i procedurze ustalania lub zmiany tych kryteriów, jak również do dokonywania zmian w Regulaminie Rady”.</w:t>
      </w:r>
    </w:p>
    <w:p w:rsidR="00F968AA" w:rsidRPr="00F968AA" w:rsidRDefault="00F968AA" w:rsidP="00F968AA">
      <w:pPr>
        <w:widowControl/>
        <w:spacing w:line="100" w:lineRule="atLeast"/>
        <w:jc w:val="both"/>
        <w:rPr>
          <w:rFonts w:cs="Times New Roman"/>
          <w:iCs/>
          <w:color w:val="00B050"/>
          <w:kern w:val="1"/>
          <w:sz w:val="22"/>
          <w:szCs w:val="22"/>
          <w:lang w:eastAsia="ar-SA" w:bidi="ar-SA"/>
        </w:rPr>
      </w:pPr>
      <w:r w:rsidRPr="00F968AA">
        <w:rPr>
          <w:rFonts w:cs="Times New Roman"/>
          <w:iCs/>
          <w:color w:val="00B050"/>
          <w:kern w:val="1"/>
          <w:sz w:val="22"/>
          <w:szCs w:val="22"/>
          <w:lang w:eastAsia="ar-SA" w:bidi="ar-SA"/>
        </w:rPr>
        <w:lastRenderedPageBreak/>
        <w:t xml:space="preserve">9. W/w procedura ma zastosowanie wyłącznie do merytorycznych zmian kierunkowych LSR natomiast zmiany techniczne w LSR wynikające z wezwań Samorządu Województwa, poprawy oczywistych omyłek stwierdzonych w ramach autokontroli LGD lub też dostosowania LSR do wymogów aktualnych przepisów prawa nie wymagają przeprowadzenia w/w procesu aktualizacji prócz zatwierdzenia ich przez Walne Zebranie Członków lub Zarząd. </w:t>
      </w:r>
    </w:p>
    <w:p w:rsidR="00F968AA" w:rsidRDefault="00F968AA"/>
    <w:p w:rsidR="00F968AA" w:rsidRPr="00F968AA" w:rsidRDefault="00F968AA" w:rsidP="00F968AA">
      <w:pPr>
        <w:rPr>
          <w:rFonts w:ascii="Arial" w:hAnsi="Arial" w:cs="Arial"/>
          <w:b/>
          <w:sz w:val="28"/>
          <w:szCs w:val="28"/>
        </w:rPr>
      </w:pPr>
      <w:r w:rsidRPr="00F968AA">
        <w:rPr>
          <w:rFonts w:ascii="Arial" w:hAnsi="Arial" w:cs="Arial"/>
          <w:b/>
          <w:sz w:val="28"/>
          <w:szCs w:val="28"/>
        </w:rPr>
        <w:t>Załącznik nr 2 – Procedura dokonywania ewaluacji i monitoring</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Za monitoring odpowiedzialny będzie Zarząd LGD. Zgodnie z zasadami funkcjonowania stowarzyszenia pracę Zarządu wspiera Biuro LGD, kierowane przez Kierownika Biura.</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 xml:space="preserve">Monitoring realizowany będzie na bieżąco, szczególnie w oparciu o otrzymywane co kwartał informacje z Urzędu Marszałkowskiego. Wszelkie istotne z punktu widzenia realizacji LGD sprawy mogą być przedmiotem posiedzeń Zarządu LGD, zwoływanych zgodnie z Regulaminem Pracy Zarządu, włącznie z nadzwyczajnym trybem zwoływania tych posiedzeń. </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 xml:space="preserve">Średnio </w:t>
      </w:r>
      <w:r w:rsidRPr="00F968AA">
        <w:rPr>
          <w:rFonts w:eastAsia="Calibri"/>
          <w:strike/>
          <w:sz w:val="22"/>
          <w:szCs w:val="22"/>
        </w:rPr>
        <w:t>co pół roku</w:t>
      </w:r>
      <w:r w:rsidRPr="00F968AA">
        <w:rPr>
          <w:rFonts w:eastAsia="Calibri"/>
          <w:sz w:val="22"/>
          <w:szCs w:val="22"/>
        </w:rPr>
        <w:t xml:space="preserve"> </w:t>
      </w:r>
      <w:r w:rsidRPr="00F968AA">
        <w:rPr>
          <w:rFonts w:eastAsia="Calibri"/>
          <w:color w:val="00B050"/>
          <w:sz w:val="22"/>
          <w:szCs w:val="22"/>
        </w:rPr>
        <w:t>raz na rok</w:t>
      </w:r>
      <w:r w:rsidRPr="00F968AA">
        <w:rPr>
          <w:rFonts w:eastAsia="Calibri"/>
          <w:sz w:val="22"/>
          <w:szCs w:val="22"/>
        </w:rPr>
        <w:t xml:space="preserve"> przygotowywane będzie przez Zarząd sprawozdanie przedstawiane jest na Walnym Zebraniu Członków (WZC). Po jego przyjęciu przez WZC, sprawozdanie zamieszczane jest do publicznej wiadomości na stronie internetowej LGD. </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 xml:space="preserve">Elementy podlegające monitoringowi podano w tabeli poniżej. </w:t>
      </w:r>
    </w:p>
    <w:p w:rsidR="00F968AA" w:rsidRPr="00F968AA" w:rsidRDefault="00F968AA" w:rsidP="00F968AA">
      <w:pPr>
        <w:widowControl/>
        <w:numPr>
          <w:ilvl w:val="0"/>
          <w:numId w:val="7"/>
        </w:numPr>
        <w:suppressAutoHyphens w:val="0"/>
        <w:spacing w:line="100" w:lineRule="atLeast"/>
        <w:jc w:val="both"/>
        <w:rPr>
          <w:rFonts w:eastAsia="Calibri"/>
          <w:strike/>
          <w:color w:val="FF0000"/>
          <w:sz w:val="22"/>
          <w:szCs w:val="22"/>
        </w:rPr>
      </w:pPr>
      <w:r w:rsidRPr="00F968AA">
        <w:rPr>
          <w:rFonts w:eastAsia="Calibri"/>
          <w:sz w:val="22"/>
          <w:szCs w:val="22"/>
        </w:rPr>
        <w:t xml:space="preserve">Ewaluacji LSR dokonuje się w 2019 r. WZC może zadecydować o wcześniejszej ewaluacji LSR, jeśli uzna za to za konieczne. </w:t>
      </w:r>
      <w:r w:rsidRPr="00F968AA">
        <w:rPr>
          <w:rFonts w:eastAsia="Calibri"/>
          <w:strike/>
          <w:color w:val="FF0000"/>
          <w:sz w:val="22"/>
          <w:szCs w:val="22"/>
        </w:rPr>
        <w:t xml:space="preserve">W I połowie 2016 roku, WZC zadecyduje o potrzebie wykonania ewaluacji ex-ante.  </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WZC powołuje Zespół Ewaluacyjny LSR dla oceny mid-term, najpóźniej w I połowie 2019 r., określa jego skład spośród członków LGD i liczbę ekspertów zewnętrznych.</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Wyboru ekspertów dokonuje Zarząd LGD.</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Zespół Ewaluacyjny kieruje się następującymi kryteriami ewaluacji:</w:t>
      </w:r>
    </w:p>
    <w:p w:rsidR="00F968AA" w:rsidRPr="00F968AA" w:rsidRDefault="00F968AA" w:rsidP="00F968AA">
      <w:pPr>
        <w:widowControl/>
        <w:numPr>
          <w:ilvl w:val="0"/>
          <w:numId w:val="8"/>
        </w:numPr>
        <w:spacing w:line="100" w:lineRule="atLeast"/>
        <w:jc w:val="both"/>
        <w:rPr>
          <w:rFonts w:eastAsia="Calibri"/>
          <w:sz w:val="22"/>
          <w:szCs w:val="22"/>
        </w:rPr>
      </w:pPr>
      <w:r w:rsidRPr="00F968AA">
        <w:rPr>
          <w:rFonts w:eastAsia="Calibri"/>
          <w:sz w:val="22"/>
          <w:szCs w:val="22"/>
        </w:rPr>
        <w:t>Trafności – w jakim stopniu przyjęte do realizacji zadania odpowiadają na określone przez beneficjentów problemy na obszarze LGD;</w:t>
      </w:r>
    </w:p>
    <w:p w:rsidR="00F968AA" w:rsidRPr="00F968AA" w:rsidRDefault="00F968AA" w:rsidP="00F968AA">
      <w:pPr>
        <w:widowControl/>
        <w:numPr>
          <w:ilvl w:val="0"/>
          <w:numId w:val="8"/>
        </w:numPr>
        <w:spacing w:line="100" w:lineRule="atLeast"/>
        <w:jc w:val="both"/>
        <w:rPr>
          <w:rFonts w:eastAsia="Calibri"/>
          <w:sz w:val="22"/>
          <w:szCs w:val="22"/>
        </w:rPr>
      </w:pPr>
      <w:r w:rsidRPr="00F968AA">
        <w:rPr>
          <w:rFonts w:eastAsia="Calibri"/>
          <w:sz w:val="22"/>
          <w:szCs w:val="22"/>
        </w:rPr>
        <w:t>Efektywności i wydajności – jak nakłady finansowe, czasu, kapitału ludzkiego przyczyniają się do uzyskanych wyników i osiągniętych rezultatów wdrożenia LSR;</w:t>
      </w:r>
    </w:p>
    <w:p w:rsidR="00F968AA" w:rsidRPr="00F968AA" w:rsidRDefault="00F968AA" w:rsidP="00F968AA">
      <w:pPr>
        <w:widowControl/>
        <w:numPr>
          <w:ilvl w:val="0"/>
          <w:numId w:val="8"/>
        </w:numPr>
        <w:spacing w:line="100" w:lineRule="atLeast"/>
        <w:jc w:val="both"/>
        <w:rPr>
          <w:rFonts w:eastAsia="Calibri"/>
          <w:sz w:val="22"/>
          <w:szCs w:val="22"/>
        </w:rPr>
      </w:pPr>
      <w:r w:rsidRPr="00F968AA">
        <w:rPr>
          <w:rFonts w:eastAsia="Calibri"/>
          <w:sz w:val="22"/>
          <w:szCs w:val="22"/>
        </w:rPr>
        <w:t>Skuteczności – jak osiągane są cele w odniesieniu do założeń;</w:t>
      </w:r>
    </w:p>
    <w:p w:rsidR="00F968AA" w:rsidRPr="00F968AA" w:rsidRDefault="00F968AA" w:rsidP="00F968AA">
      <w:pPr>
        <w:widowControl/>
        <w:numPr>
          <w:ilvl w:val="0"/>
          <w:numId w:val="8"/>
        </w:numPr>
        <w:spacing w:line="100" w:lineRule="atLeast"/>
        <w:jc w:val="both"/>
        <w:rPr>
          <w:rFonts w:eastAsia="Calibri"/>
          <w:sz w:val="22"/>
          <w:szCs w:val="22"/>
        </w:rPr>
      </w:pPr>
      <w:r w:rsidRPr="00F968AA">
        <w:rPr>
          <w:rFonts w:eastAsia="Calibri"/>
          <w:sz w:val="22"/>
          <w:szCs w:val="22"/>
        </w:rPr>
        <w:t>Trwałości – jak trwałe są efekty realizacji LSR w dłuższym okresie;</w:t>
      </w:r>
    </w:p>
    <w:p w:rsidR="00F968AA" w:rsidRPr="00F968AA" w:rsidRDefault="00F968AA" w:rsidP="00F968AA">
      <w:pPr>
        <w:widowControl/>
        <w:numPr>
          <w:ilvl w:val="0"/>
          <w:numId w:val="8"/>
        </w:numPr>
        <w:spacing w:line="100" w:lineRule="atLeast"/>
        <w:jc w:val="both"/>
        <w:rPr>
          <w:rFonts w:eastAsia="Calibri"/>
          <w:sz w:val="22"/>
          <w:szCs w:val="22"/>
        </w:rPr>
      </w:pPr>
      <w:r w:rsidRPr="00F968AA">
        <w:rPr>
          <w:rFonts w:eastAsia="Calibri"/>
          <w:sz w:val="22"/>
          <w:szCs w:val="22"/>
        </w:rPr>
        <w:t>Użyteczności – czy LSR odpowiada na faktyczne potrzeby mieszkańców.</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 xml:space="preserve">W procesie ewaluacji zastosowane będą metody partycypacji społecznej w stopniu niemniejszym </w:t>
      </w:r>
      <w:r w:rsidRPr="00F968AA">
        <w:rPr>
          <w:rFonts w:eastAsia="Calibri"/>
          <w:sz w:val="22"/>
          <w:szCs w:val="22"/>
        </w:rPr>
        <w:br/>
        <w:t>jak w procesie przygotowania niniejszej procedury.</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Elementy podlegające ewaluacji podano w tabeli poniżej.</w:t>
      </w:r>
    </w:p>
    <w:p w:rsidR="00F968AA" w:rsidRPr="00F968AA" w:rsidRDefault="00F968AA" w:rsidP="00F968AA">
      <w:pPr>
        <w:widowControl/>
        <w:numPr>
          <w:ilvl w:val="0"/>
          <w:numId w:val="7"/>
        </w:numPr>
        <w:suppressAutoHyphens w:val="0"/>
        <w:spacing w:line="100" w:lineRule="atLeast"/>
        <w:jc w:val="both"/>
        <w:rPr>
          <w:rFonts w:eastAsia="Calibri"/>
          <w:sz w:val="22"/>
          <w:szCs w:val="22"/>
        </w:rPr>
      </w:pPr>
      <w:r w:rsidRPr="00F968AA">
        <w:rPr>
          <w:rFonts w:eastAsia="Calibri"/>
          <w:sz w:val="22"/>
          <w:szCs w:val="22"/>
        </w:rPr>
        <w:t>Zespół Ewaluacyjny opracowuje raport, który przyjmuje Walne Zebranie Członków.</w:t>
      </w:r>
    </w:p>
    <w:p w:rsidR="00F968AA" w:rsidRPr="00F968AA" w:rsidRDefault="00F968AA" w:rsidP="00F968AA">
      <w:pPr>
        <w:widowControl/>
        <w:numPr>
          <w:ilvl w:val="0"/>
          <w:numId w:val="7"/>
        </w:numPr>
        <w:suppressAutoHyphens w:val="0"/>
        <w:spacing w:line="100" w:lineRule="atLeast"/>
        <w:jc w:val="both"/>
        <w:rPr>
          <w:rFonts w:eastAsia="Calibri"/>
          <w:strike/>
          <w:color w:val="FF0000"/>
          <w:sz w:val="22"/>
          <w:szCs w:val="22"/>
        </w:rPr>
      </w:pPr>
      <w:r w:rsidRPr="00F968AA">
        <w:rPr>
          <w:rFonts w:eastAsia="Calibri"/>
          <w:strike/>
          <w:color w:val="FF0000"/>
          <w:sz w:val="22"/>
          <w:szCs w:val="22"/>
        </w:rPr>
        <w:t xml:space="preserve">Procedury w zakresie ewaluacji ex-post stosuje się podobnie jak dla ewaluacji mid-term, </w:t>
      </w:r>
      <w:r w:rsidRPr="00F968AA">
        <w:rPr>
          <w:rFonts w:eastAsia="Calibri"/>
          <w:strike/>
          <w:color w:val="FF0000"/>
          <w:sz w:val="22"/>
          <w:szCs w:val="22"/>
        </w:rPr>
        <w:br/>
        <w:t xml:space="preserve">z tym że ewaluacji dokonuje się w 2023 r. (Zespół Ewaluacyjny powołuje się w I poł. 2023 r. itp.).  </w:t>
      </w:r>
      <w:r w:rsidRPr="00F968AA">
        <w:rPr>
          <w:rFonts w:eastAsia="Calibri"/>
          <w:color w:val="00B050"/>
          <w:sz w:val="22"/>
          <w:szCs w:val="22"/>
        </w:rPr>
        <w:t>Ewaluację zewnętrzną powinien przeprowadzić zewnętrzny ewaluator. Realizacja badania dobywa się jednokrotnie – w 2021 r. Ewaluacja zewnętrzna może zostać zlecona wspólnie, tj. badanie obejmuje kilka lub wszystkie LGD z terenu województwa. Ewaluacja zewnętrzna dotyczyć będzie co najmniej następujących obszarów badawczych:</w:t>
      </w:r>
    </w:p>
    <w:p w:rsidR="00F968AA" w:rsidRPr="00F968AA" w:rsidRDefault="00F968AA" w:rsidP="00F968AA">
      <w:pPr>
        <w:widowControl/>
        <w:suppressAutoHyphens w:val="0"/>
        <w:spacing w:line="100" w:lineRule="atLeast"/>
        <w:ind w:left="720"/>
        <w:jc w:val="both"/>
        <w:rPr>
          <w:rFonts w:eastAsia="Calibri"/>
          <w:color w:val="00B050"/>
          <w:sz w:val="22"/>
          <w:szCs w:val="22"/>
        </w:rPr>
      </w:pPr>
      <w:r w:rsidRPr="00F968AA">
        <w:rPr>
          <w:rFonts w:eastAsia="Calibri"/>
          <w:color w:val="00B050"/>
          <w:sz w:val="22"/>
          <w:szCs w:val="22"/>
        </w:rPr>
        <w:t>- ocena wpływu na kapitał społeczny; przedsiębiorczość; turystyka i dziedzictwo kulturowe, grupy defaworyzowane; innowacyjność; projekt współpracy; ocena funkcjonowania LGD; ocena procesu wdrażania; wartość dodana podejścia LEADER.</w:t>
      </w:r>
    </w:p>
    <w:p w:rsidR="00F968AA" w:rsidRPr="00F968AA" w:rsidRDefault="00F968AA" w:rsidP="00F968AA">
      <w:pPr>
        <w:widowControl/>
        <w:suppressAutoHyphens w:val="0"/>
        <w:spacing w:line="100" w:lineRule="atLeast"/>
        <w:ind w:left="720"/>
        <w:jc w:val="both"/>
        <w:rPr>
          <w:rFonts w:eastAsia="Calibri"/>
          <w:color w:val="00B050"/>
          <w:sz w:val="22"/>
          <w:szCs w:val="22"/>
        </w:rPr>
      </w:pPr>
      <w:r w:rsidRPr="00F968AA">
        <w:rPr>
          <w:rFonts w:eastAsia="Calibri"/>
          <w:color w:val="00B050"/>
          <w:sz w:val="22"/>
          <w:szCs w:val="22"/>
        </w:rPr>
        <w:t>Podczas procesu badawczego zapewniona zostanie triangulacja metod i technik badawczych poprzez zastosowanie analizy danych zastanych, badań jakościowych oraz badań ilościowych.</w:t>
      </w:r>
    </w:p>
    <w:p w:rsidR="00F968AA" w:rsidRPr="00F968AA" w:rsidRDefault="00F968AA" w:rsidP="00F968AA">
      <w:pPr>
        <w:widowControl/>
        <w:suppressAutoHyphens w:val="0"/>
        <w:spacing w:line="100" w:lineRule="atLeast"/>
        <w:ind w:left="720"/>
        <w:jc w:val="both"/>
        <w:rPr>
          <w:rFonts w:eastAsia="Calibri"/>
          <w:color w:val="00B050"/>
          <w:sz w:val="22"/>
          <w:szCs w:val="22"/>
        </w:rPr>
      </w:pPr>
      <w:r w:rsidRPr="00F968AA">
        <w:rPr>
          <w:rFonts w:eastAsia="Calibri"/>
          <w:color w:val="00B050"/>
          <w:sz w:val="22"/>
          <w:szCs w:val="22"/>
        </w:rPr>
        <w:t>W wyniku ewaluacji zewnętrznej sporządzony zostanie raport.</w:t>
      </w:r>
    </w:p>
    <w:p w:rsidR="00F968AA" w:rsidRPr="00F968AA" w:rsidRDefault="00F968AA" w:rsidP="00F968AA">
      <w:pPr>
        <w:rPr>
          <w:rFonts w:ascii="Arial" w:hAnsi="Arial" w:cs="Arial"/>
          <w:sz w:val="22"/>
          <w:szCs w:val="22"/>
        </w:rPr>
      </w:pPr>
    </w:p>
    <w:p w:rsidR="00F968AA" w:rsidRDefault="00F968AA"/>
    <w:sectPr w:rsidR="00F968A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1DA" w:rsidRDefault="00FF31DA" w:rsidP="002F42E9">
      <w:r>
        <w:separator/>
      </w:r>
    </w:p>
  </w:endnote>
  <w:endnote w:type="continuationSeparator" w:id="0">
    <w:p w:rsidR="00FF31DA" w:rsidRDefault="00FF31DA" w:rsidP="002F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charset w:val="EE"/>
    <w:family w:val="auto"/>
    <w:pitch w:val="variable"/>
    <w:sig w:usb0="00000005" w:usb1="00000000" w:usb2="00000000" w:usb3="00000000" w:csb0="00000002"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1DA" w:rsidRDefault="00FF31DA" w:rsidP="002F42E9">
      <w:r>
        <w:separator/>
      </w:r>
    </w:p>
  </w:footnote>
  <w:footnote w:type="continuationSeparator" w:id="0">
    <w:p w:rsidR="00FF31DA" w:rsidRDefault="00FF31DA" w:rsidP="002F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E9" w:rsidRPr="002F42E9" w:rsidRDefault="002F42E9" w:rsidP="002F42E9">
    <w:pPr>
      <w:pStyle w:val="Nagwek"/>
      <w:jc w:val="right"/>
      <w:rPr>
        <w:i/>
        <w:iCs/>
      </w:rPr>
    </w:pPr>
    <w:r w:rsidRPr="002F42E9">
      <w:rPr>
        <w:i/>
        <w:iCs/>
      </w:rPr>
      <w:t>Projekt zmian</w:t>
    </w:r>
    <w:r>
      <w:rPr>
        <w:i/>
        <w:iCs/>
      </w:rPr>
      <w:t xml:space="preserve"> w LSR</w:t>
    </w:r>
    <w:r w:rsidRPr="002F42E9">
      <w:rPr>
        <w:i/>
        <w:iCs/>
      </w:rPr>
      <w:t xml:space="preserve"> do konsultacji społecznych, czerwiec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bCs/>
        <w:sz w:val="22"/>
        <w:szCs w:val="22"/>
        <w:lang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Letter"/>
      <w:lvlText w:val="%1."/>
      <w:lvlJc w:val="left"/>
      <w:pPr>
        <w:tabs>
          <w:tab w:val="num" w:pos="720"/>
        </w:tabs>
        <w:ind w:left="720" w:hanging="360"/>
      </w:pPr>
      <w:rPr>
        <w:rFonts w:eastAsia="Times New Roman" w:cs="Times New Roman" w:hint="default"/>
        <w:b/>
        <w:color w:val="000000"/>
        <w:lang w:eastAsia="ar-SA" w:bidi="ar-SA"/>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2"/>
        <w:szCs w:val="22"/>
      </w:rPr>
    </w:lvl>
  </w:abstractNum>
  <w:abstractNum w:abstractNumId="5" w15:restartNumberingAfterBreak="0">
    <w:nsid w:val="00000017"/>
    <w:multiLevelType w:val="multilevel"/>
    <w:tmpl w:val="00000017"/>
    <w:lvl w:ilvl="0">
      <w:start w:val="1"/>
      <w:numFmt w:val="decimal"/>
      <w:lvlText w:val="%1."/>
      <w:lvlJc w:val="left"/>
      <w:pPr>
        <w:tabs>
          <w:tab w:val="num" w:pos="720"/>
        </w:tabs>
        <w:ind w:left="720" w:hanging="360"/>
      </w:pPr>
      <w:rPr>
        <w:rFonts w:hint="default"/>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440903"/>
    <w:multiLevelType w:val="hybridMultilevel"/>
    <w:tmpl w:val="57969EB2"/>
    <w:lvl w:ilvl="0" w:tplc="16EA5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F6720A"/>
    <w:multiLevelType w:val="hybridMultilevel"/>
    <w:tmpl w:val="E56A9CBA"/>
    <w:lvl w:ilvl="0" w:tplc="16EA55FC">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0110AE7"/>
    <w:multiLevelType w:val="hybridMultilevel"/>
    <w:tmpl w:val="82AA20D4"/>
    <w:lvl w:ilvl="0" w:tplc="04150001">
      <w:start w:val="1"/>
      <w:numFmt w:val="bullet"/>
      <w:pStyle w:val="Nagwek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4A"/>
    <w:rsid w:val="000925B7"/>
    <w:rsid w:val="002F42E9"/>
    <w:rsid w:val="005F29F5"/>
    <w:rsid w:val="007E3365"/>
    <w:rsid w:val="00A6344A"/>
    <w:rsid w:val="00A73509"/>
    <w:rsid w:val="00AE1E16"/>
    <w:rsid w:val="00F968AA"/>
    <w:rsid w:val="00FD5433"/>
    <w:rsid w:val="00FF3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CDB6"/>
  <w15:chartTrackingRefBased/>
  <w15:docId w15:val="{8A79BE88-7797-458A-BC4B-CC65660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44A"/>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Nagwek1">
    <w:name w:val="heading 1"/>
    <w:basedOn w:val="Normalny"/>
    <w:next w:val="Normalny"/>
    <w:link w:val="Nagwek1Znak"/>
    <w:qFormat/>
    <w:rsid w:val="00AE1E16"/>
    <w:pPr>
      <w:keepNext/>
      <w:numPr>
        <w:numId w:val="1"/>
      </w:numPr>
      <w:spacing w:before="240" w:after="60"/>
      <w:outlineLvl w:val="0"/>
    </w:pPr>
    <w:rPr>
      <w:rFonts w:cs="Times New Roman"/>
      <w:b/>
      <w:bCs/>
      <w:color w:val="000000"/>
      <w:kern w:val="1"/>
      <w:lang w:eastAsia="ar-SA" w:bidi="ar-SA"/>
    </w:rPr>
  </w:style>
  <w:style w:type="paragraph" w:styleId="Nagwek2">
    <w:name w:val="heading 2"/>
    <w:basedOn w:val="Normalny"/>
    <w:next w:val="Normalny"/>
    <w:link w:val="Nagwek2Znak1"/>
    <w:uiPriority w:val="9"/>
    <w:semiHidden/>
    <w:unhideWhenUsed/>
    <w:qFormat/>
    <w:rsid w:val="002F42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rsid w:val="00AE1E16"/>
    <w:rPr>
      <w:rFonts w:ascii="Arial" w:eastAsia="Arial Unicode MS" w:hAnsi="Arial" w:cs="Arial"/>
      <w:b/>
      <w:bCs/>
      <w:i/>
      <w:iCs/>
      <w:sz w:val="28"/>
      <w:szCs w:val="28"/>
      <w:lang w:eastAsia="pl-PL" w:bidi="pl-PL"/>
    </w:rPr>
  </w:style>
  <w:style w:type="paragraph" w:customStyle="1" w:styleId="Nagwek10">
    <w:name w:val="Nagłówek1"/>
    <w:basedOn w:val="Normalny"/>
    <w:next w:val="Tekstpodstawowy"/>
    <w:rsid w:val="00AE1E1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semiHidden/>
    <w:unhideWhenUsed/>
    <w:rsid w:val="00AE1E16"/>
    <w:pPr>
      <w:spacing w:after="120"/>
    </w:pPr>
  </w:style>
  <w:style w:type="character" w:customStyle="1" w:styleId="TekstpodstawowyZnak">
    <w:name w:val="Tekst podstawowy Znak"/>
    <w:basedOn w:val="Domylnaczcionkaakapitu"/>
    <w:link w:val="Tekstpodstawowy"/>
    <w:uiPriority w:val="99"/>
    <w:semiHidden/>
    <w:rsid w:val="00AE1E16"/>
    <w:rPr>
      <w:rFonts w:ascii="Times New Roman" w:eastAsia="Arial Unicode MS" w:hAnsi="Times New Roman" w:cs="Tahoma"/>
      <w:sz w:val="24"/>
      <w:szCs w:val="24"/>
      <w:lang w:eastAsia="pl-PL" w:bidi="pl-PL"/>
    </w:rPr>
  </w:style>
  <w:style w:type="character" w:customStyle="1" w:styleId="Nagwek1Znak">
    <w:name w:val="Nagłówek 1 Znak"/>
    <w:basedOn w:val="Domylnaczcionkaakapitu"/>
    <w:link w:val="Nagwek1"/>
    <w:rsid w:val="00AE1E16"/>
    <w:rPr>
      <w:rFonts w:ascii="Times New Roman" w:eastAsia="Arial Unicode MS" w:hAnsi="Times New Roman" w:cs="Times New Roman"/>
      <w:b/>
      <w:bCs/>
      <w:color w:val="000000"/>
      <w:kern w:val="1"/>
      <w:sz w:val="24"/>
      <w:szCs w:val="24"/>
      <w:lang w:eastAsia="ar-SA"/>
    </w:rPr>
  </w:style>
  <w:style w:type="character" w:customStyle="1" w:styleId="Nagwek2Znak1">
    <w:name w:val="Nagłówek 2 Znak1"/>
    <w:basedOn w:val="Domylnaczcionkaakapitu"/>
    <w:link w:val="Nagwek2"/>
    <w:uiPriority w:val="9"/>
    <w:semiHidden/>
    <w:rsid w:val="002F42E9"/>
    <w:rPr>
      <w:rFonts w:asciiTheme="majorHAnsi" w:eastAsiaTheme="majorEastAsia" w:hAnsiTheme="majorHAnsi" w:cstheme="majorBidi"/>
      <w:color w:val="2F5496" w:themeColor="accent1" w:themeShade="BF"/>
      <w:sz w:val="26"/>
      <w:szCs w:val="26"/>
      <w:lang w:eastAsia="pl-PL" w:bidi="pl-PL"/>
    </w:rPr>
  </w:style>
  <w:style w:type="paragraph" w:styleId="Nagwek">
    <w:name w:val="header"/>
    <w:basedOn w:val="Normalny"/>
    <w:link w:val="NagwekZnak"/>
    <w:uiPriority w:val="99"/>
    <w:unhideWhenUsed/>
    <w:rsid w:val="002F42E9"/>
    <w:pPr>
      <w:tabs>
        <w:tab w:val="center" w:pos="4536"/>
        <w:tab w:val="right" w:pos="9072"/>
      </w:tabs>
    </w:pPr>
  </w:style>
  <w:style w:type="character" w:customStyle="1" w:styleId="NagwekZnak">
    <w:name w:val="Nagłówek Znak"/>
    <w:basedOn w:val="Domylnaczcionkaakapitu"/>
    <w:link w:val="Nagwek"/>
    <w:uiPriority w:val="99"/>
    <w:rsid w:val="002F42E9"/>
    <w:rPr>
      <w:rFonts w:ascii="Times New Roman" w:eastAsia="Arial Unicode MS" w:hAnsi="Times New Roman" w:cs="Tahoma"/>
      <w:sz w:val="24"/>
      <w:szCs w:val="24"/>
      <w:lang w:eastAsia="pl-PL" w:bidi="pl-PL"/>
    </w:rPr>
  </w:style>
  <w:style w:type="paragraph" w:styleId="Stopka">
    <w:name w:val="footer"/>
    <w:basedOn w:val="Normalny"/>
    <w:link w:val="StopkaZnak"/>
    <w:uiPriority w:val="99"/>
    <w:unhideWhenUsed/>
    <w:rsid w:val="002F42E9"/>
    <w:pPr>
      <w:tabs>
        <w:tab w:val="center" w:pos="4536"/>
        <w:tab w:val="right" w:pos="9072"/>
      </w:tabs>
    </w:pPr>
  </w:style>
  <w:style w:type="character" w:customStyle="1" w:styleId="StopkaZnak">
    <w:name w:val="Stopka Znak"/>
    <w:basedOn w:val="Domylnaczcionkaakapitu"/>
    <w:link w:val="Stopka"/>
    <w:uiPriority w:val="99"/>
    <w:rsid w:val="002F42E9"/>
    <w:rPr>
      <w:rFonts w:ascii="Times New Roman" w:eastAsia="Arial Unicode MS" w:hAnsi="Times New Roman" w:cs="Tahoma"/>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5562</Words>
  <Characters>33378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2021-06-23T12:00:00Z</dcterms:created>
  <dcterms:modified xsi:type="dcterms:W3CDTF">2021-06-23T13:16:00Z</dcterms:modified>
</cp:coreProperties>
</file>